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8B212B" w:rsidP="00494130">
      <w:pPr>
        <w:pStyle w:val="Heading1"/>
        <w:spacing w:before="170"/>
        <w:ind w:left="0"/>
      </w:pPr>
      <w:r w:rsidRPr="008B212B">
        <w:rPr>
          <w:color w:val="337AB7"/>
          <w:lang w:val="en-GB"/>
        </w:rPr>
        <w:t>EFFECT OF CEO</w:t>
      </w:r>
      <w:r w:rsidRPr="008B212B">
        <w:rPr>
          <w:color w:val="337AB7"/>
          <w:vertAlign w:val="subscript"/>
          <w:lang w:val="en-GB"/>
        </w:rPr>
        <w:t>2</w:t>
      </w:r>
      <w:r w:rsidRPr="008B212B">
        <w:rPr>
          <w:color w:val="337AB7"/>
          <w:lang w:val="en-GB"/>
        </w:rPr>
        <w:t xml:space="preserve"> INCORPORATION IN NI/YSZ ANODE MATERIALS ON ELECTRICAL PERFORMANCE OF SOLID OXIDE FUEL CELL</w:t>
      </w:r>
    </w:p>
    <w:p w:rsidR="00F5156E" w:rsidRDefault="00F5156E" w:rsidP="005973B9">
      <w:pPr>
        <w:pStyle w:val="BodyText"/>
        <w:spacing w:before="73" w:line="198" w:lineRule="exact"/>
        <w:ind w:left="100" w:right="5987"/>
        <w:rPr>
          <w:rFonts w:ascii="Arial"/>
        </w:rPr>
      </w:pPr>
    </w:p>
    <w:p w:rsidR="0078738A" w:rsidRDefault="0078738A" w:rsidP="005973B9">
      <w:pPr>
        <w:pStyle w:val="BodyText"/>
        <w:spacing w:before="73" w:line="198" w:lineRule="exact"/>
        <w:ind w:left="100" w:right="5987"/>
        <w:rPr>
          <w:rFonts w:ascii="Arial"/>
        </w:rPr>
      </w:pPr>
      <w:r>
        <w:rPr>
          <w:rFonts w:ascii="Arial"/>
        </w:rPr>
        <w:t xml:space="preserve">Dr </w:t>
      </w:r>
      <w:r w:rsidR="008B212B">
        <w:rPr>
          <w:rFonts w:ascii="Arial"/>
        </w:rPr>
        <w:t>RANJAN KUMAR PATI,</w:t>
      </w:r>
      <w:r w:rsidR="005973B9">
        <w:rPr>
          <w:rFonts w:ascii="Arial"/>
        </w:rPr>
        <w:t xml:space="preserve"> PhD, </w:t>
      </w:r>
      <w:r w:rsidR="008B212B">
        <w:rPr>
          <w:rFonts w:ascii="Arial"/>
        </w:rPr>
        <w:t>Department of Science, School of Technology, PDPU, Gandhinagar, INDIA</w:t>
      </w:r>
      <w:r w:rsidR="005973B9">
        <w:rPr>
          <w:rFonts w:ascii="Arial"/>
        </w:rPr>
        <w:t xml:space="preserve"> </w:t>
      </w:r>
    </w:p>
    <w:p w:rsidR="005973B9" w:rsidRDefault="0078738A" w:rsidP="005973B9">
      <w:pPr>
        <w:pStyle w:val="BodyText"/>
        <w:spacing w:before="73" w:line="198" w:lineRule="exact"/>
        <w:ind w:left="100" w:right="5987"/>
        <w:rPr>
          <w:rFonts w:ascii="Arial"/>
        </w:rPr>
      </w:pPr>
      <w:r>
        <w:rPr>
          <w:rFonts w:ascii="Arial"/>
        </w:rPr>
        <w:t xml:space="preserve">Dr </w:t>
      </w:r>
      <w:r w:rsidR="008B212B">
        <w:rPr>
          <w:rFonts w:ascii="Arial"/>
        </w:rPr>
        <w:t xml:space="preserve">ABHIJIT RAY, </w:t>
      </w:r>
      <w:r w:rsidR="005973B9">
        <w:rPr>
          <w:rFonts w:ascii="Arial"/>
        </w:rPr>
        <w:t xml:space="preserve">PhD, </w:t>
      </w:r>
      <w:r w:rsidR="008B212B">
        <w:rPr>
          <w:rFonts w:ascii="Arial"/>
        </w:rPr>
        <w:t>Solar Research &amp; Development Center, PDPU, Gandhinagar, INDIA</w:t>
      </w:r>
    </w:p>
    <w:p w:rsidR="008B212B" w:rsidRDefault="008B212B" w:rsidP="008B212B">
      <w:pPr>
        <w:pStyle w:val="BodyText"/>
        <w:spacing w:before="73" w:line="198" w:lineRule="exact"/>
        <w:ind w:left="100" w:right="5987"/>
        <w:rPr>
          <w:rFonts w:ascii="Arial"/>
        </w:rPr>
      </w:pPr>
      <w:r>
        <w:rPr>
          <w:rFonts w:ascii="Arial"/>
        </w:rPr>
        <w:t>Dr INDRAJIT MUKHOPADHYAY, PhD, Solar Research &amp; Development Center, PDPU, Gandhinagar, INDIA</w:t>
      </w:r>
    </w:p>
    <w:p w:rsidR="008B212B" w:rsidRDefault="008B212B"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B212B" w:rsidRPr="008B212B" w:rsidRDefault="000725B6" w:rsidP="008B212B">
      <w:pPr>
        <w:pStyle w:val="BodyText"/>
        <w:spacing w:before="90" w:line="280" w:lineRule="auto"/>
        <w:ind w:left="100"/>
        <w:rPr>
          <w:lang w:val="en-GB"/>
        </w:rPr>
      </w:pPr>
      <w:r>
        <w:rPr>
          <w:noProof/>
        </w:rPr>
        <w:drawing>
          <wp:anchor distT="0" distB="0" distL="114300" distR="114300" simplePos="0" relativeHeight="251659264" behindDoc="1" locked="0" layoutInCell="1" allowOverlap="1">
            <wp:simplePos x="0" y="0"/>
            <wp:positionH relativeFrom="column">
              <wp:posOffset>3875405</wp:posOffset>
            </wp:positionH>
            <wp:positionV relativeFrom="paragraph">
              <wp:posOffset>23495</wp:posOffset>
            </wp:positionV>
            <wp:extent cx="2541270" cy="2055495"/>
            <wp:effectExtent l="19050" t="0" r="0" b="0"/>
            <wp:wrapTight wrapText="bothSides">
              <wp:wrapPolygon edited="0">
                <wp:start x="-162" y="0"/>
                <wp:lineTo x="-162" y="21420"/>
                <wp:lineTo x="21535" y="21420"/>
                <wp:lineTo x="21535" y="0"/>
                <wp:lineTo x="-162" y="0"/>
              </wp:wrapPolygon>
            </wp:wrapTight>
            <wp:docPr id="6" name="Picture 4" descr="YSZ--0006.jpg"/>
            <wp:cNvGraphicFramePr/>
            <a:graphic xmlns:a="http://schemas.openxmlformats.org/drawingml/2006/main">
              <a:graphicData uri="http://schemas.openxmlformats.org/drawingml/2006/picture">
                <pic:pic xmlns:pic="http://schemas.openxmlformats.org/drawingml/2006/picture">
                  <pic:nvPicPr>
                    <pic:cNvPr id="7" name="Picture 6" descr="YSZ--0006.jpg"/>
                    <pic:cNvPicPr>
                      <a:picLocks noChangeAspect="1"/>
                    </pic:cNvPicPr>
                  </pic:nvPicPr>
                  <pic:blipFill>
                    <a:blip r:embed="rId9" cstate="print"/>
                    <a:stretch>
                      <a:fillRect/>
                    </a:stretch>
                  </pic:blipFill>
                  <pic:spPr>
                    <a:xfrm>
                      <a:off x="0" y="0"/>
                      <a:ext cx="2541270" cy="2055495"/>
                    </a:xfrm>
                    <a:prstGeom prst="rect">
                      <a:avLst/>
                    </a:prstGeom>
                  </pic:spPr>
                </pic:pic>
              </a:graphicData>
            </a:graphic>
          </wp:anchor>
        </w:drawing>
      </w:r>
      <w:r w:rsidR="008B212B" w:rsidRPr="008B212B">
        <w:rPr>
          <w:lang w:val="en-GB"/>
        </w:rPr>
        <w:t>Solid oxide fuel cells are a class of an electrochemical conversion device characterized by the use of a solid oxide material as the electrolyte.  The use a solid oxide electrolyte in SOFCs is to conduct negative oxygen ions from cathode to anode. The electrochemical oxidation of the oxygen ions with hydrogen or carbon monoxide thus occurs on the anode side.  SOFCs operate at very high temperatures, typically between 800 and 1000 °C.  At these temperatures, SOFCs do not require expensive catalyst materials, as is currently necessary for lower-temperature fuel cells such as PEMFC. Although impressive progress has been made in the development of alternative anode materials with mixed conducting properties, Ni/YSZ continues to be the most sought for high temperature SOFC applications so far.  Despite of its poor carburization and sulfidation capabilities during the operation of SOFC directly on hydrocarbons, Ni/YSZ continues to be the most widely used anode electrode material because of its high catalytic activity for hydrogen oxidation, hydrocarbon reforming, high electronic and ionic conductivity and durability.  The present study explains the effect of ceria incorporation into Ni/YSZ cermet anode layers on the performance of button-cell solid oxide fuel cells operating with n-butane/steam fuel feeds.  A series of Ni/CeO</w:t>
      </w:r>
      <w:r w:rsidR="008B212B" w:rsidRPr="008B212B">
        <w:rPr>
          <w:vertAlign w:val="subscript"/>
          <w:lang w:val="en-GB"/>
        </w:rPr>
        <w:t>2</w:t>
      </w:r>
      <w:r w:rsidR="008B212B" w:rsidRPr="008B212B">
        <w:rPr>
          <w:lang w:val="en-GB"/>
        </w:rPr>
        <w:t>/YSZ Anode materials were prepared by changing the metal ion concentration.  The materials were characterized by powder XRD, and HRTEM.  The electrochemical performance was tested at realistic condition on a single cell SOFC.  Comparison of the performance with and without the ceria indicated improvements for operation with doped ceria for direct n-butane/steam feeds.  For initial cell performance, ceria addition to the anode materials offered improved performance with higher power densities using n-butane suggesting that ceria may enhance water-gas-shift reactions and thereby increase H</w:t>
      </w:r>
      <w:r w:rsidR="008B212B" w:rsidRPr="008B212B">
        <w:rPr>
          <w:vertAlign w:val="subscript"/>
          <w:lang w:val="en-GB"/>
        </w:rPr>
        <w:t>2</w:t>
      </w:r>
      <w:r w:rsidR="008B212B" w:rsidRPr="008B212B">
        <w:rPr>
          <w:lang w:val="en-GB"/>
        </w:rPr>
        <w:t xml:space="preserve"> availability for more effective electrochemical oxidation in the anode layer. </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F5156E">
      <w:pPr>
        <w:pStyle w:val="BodyText"/>
        <w:spacing w:before="2"/>
        <w:rPr>
          <w:rFonts w:ascii="Arial"/>
          <w:b/>
          <w:sz w:val="16"/>
        </w:rPr>
      </w:pPr>
      <w:r>
        <w:rPr>
          <w:rFonts w:ascii="Arial"/>
          <w:b/>
          <w:noProof/>
          <w:sz w:val="16"/>
        </w:rPr>
        <w:drawing>
          <wp:anchor distT="0" distB="0" distL="114300" distR="114300" simplePos="0" relativeHeight="251666432" behindDoc="0" locked="0" layoutInCell="1" allowOverlap="1">
            <wp:simplePos x="0" y="0"/>
            <wp:positionH relativeFrom="column">
              <wp:posOffset>476885</wp:posOffset>
            </wp:positionH>
            <wp:positionV relativeFrom="paragraph">
              <wp:posOffset>84455</wp:posOffset>
            </wp:positionV>
            <wp:extent cx="306705" cy="241300"/>
            <wp:effectExtent l="0" t="0" r="0" b="0"/>
            <wp:wrapNone/>
            <wp:docPr id="25" name="Object 1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0000" cy="338554"/>
                      <a:chOff x="6705600" y="3200400"/>
                      <a:chExt cx="470000" cy="338554"/>
                    </a:xfrm>
                  </a:grpSpPr>
                  <a:sp>
                    <a:nvSpPr>
                      <a:cNvPr id="13" name="TextBox 12"/>
                      <a:cNvSpPr txBox="1"/>
                    </a:nvSpPr>
                    <a:spPr>
                      <a:xfrm>
                        <a:off x="6705600" y="3200400"/>
                        <a:ext cx="470000"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latin typeface="Arial" pitchFamily="34" charset="0"/>
                              <a:cs typeface="Arial" pitchFamily="34" charset="0"/>
                            </a:rPr>
                            <a:t>(A)</a:t>
                          </a:r>
                          <a:endParaRPr lang="en-US" sz="1600" b="1" dirty="0">
                            <a:latin typeface="Arial" pitchFamily="34" charset="0"/>
                            <a:cs typeface="Arial" pitchFamily="34" charset="0"/>
                          </a:endParaRPr>
                        </a:p>
                      </a:txBody>
                      <a:useSpRect/>
                    </a:txSp>
                  </a:sp>
                </lc:lockedCanvas>
              </a:graphicData>
            </a:graphic>
          </wp:anchor>
        </w:drawing>
      </w:r>
      <w:r w:rsidR="000725B6">
        <w:rPr>
          <w:rFonts w:ascii="Arial"/>
          <w:b/>
          <w:noProof/>
          <w:sz w:val="16"/>
        </w:rPr>
        <w:drawing>
          <wp:anchor distT="0" distB="0" distL="114300" distR="114300" simplePos="0" relativeHeight="251660288" behindDoc="1" locked="0" layoutInCell="1" allowOverlap="1">
            <wp:simplePos x="0" y="0"/>
            <wp:positionH relativeFrom="column">
              <wp:posOffset>2480945</wp:posOffset>
            </wp:positionH>
            <wp:positionV relativeFrom="paragraph">
              <wp:posOffset>69850</wp:posOffset>
            </wp:positionV>
            <wp:extent cx="536575" cy="424180"/>
            <wp:effectExtent l="19050" t="0" r="0" b="0"/>
            <wp:wrapTight wrapText="bothSides">
              <wp:wrapPolygon edited="0">
                <wp:start x="-767" y="0"/>
                <wp:lineTo x="-767" y="20371"/>
                <wp:lineTo x="21472" y="20371"/>
                <wp:lineTo x="21472" y="0"/>
                <wp:lineTo x="-767" y="0"/>
              </wp:wrapPolygon>
            </wp:wrapTight>
            <wp:docPr id="7" name="Picture 5" descr="YSZ--0012.jpg"/>
            <wp:cNvGraphicFramePr/>
            <a:graphic xmlns:a="http://schemas.openxmlformats.org/drawingml/2006/main">
              <a:graphicData uri="http://schemas.openxmlformats.org/drawingml/2006/picture">
                <pic:pic xmlns:pic="http://schemas.openxmlformats.org/drawingml/2006/picture">
                  <pic:nvPicPr>
                    <pic:cNvPr id="8" name="Picture 7" descr="YSZ--0012.jpg"/>
                    <pic:cNvPicPr>
                      <a:picLocks noChangeAspect="1"/>
                    </pic:cNvPicPr>
                  </pic:nvPicPr>
                  <pic:blipFill>
                    <a:blip r:embed="rId10" cstate="print"/>
                    <a:stretch>
                      <a:fillRect/>
                    </a:stretch>
                  </pic:blipFill>
                  <pic:spPr>
                    <a:xfrm>
                      <a:off x="0" y="0"/>
                      <a:ext cx="536575" cy="424180"/>
                    </a:xfrm>
                    <a:prstGeom prst="rect">
                      <a:avLst/>
                    </a:prstGeom>
                  </pic:spPr>
                </pic:pic>
              </a:graphicData>
            </a:graphic>
          </wp:anchor>
        </w:drawing>
      </w:r>
    </w:p>
    <w:p w:rsidR="000725B6" w:rsidRDefault="005973B9" w:rsidP="005973B9">
      <w:pPr>
        <w:spacing w:line="204" w:lineRule="exact"/>
        <w:rPr>
          <w:rFonts w:ascii="Arial"/>
          <w:b/>
          <w:color w:val="BF5A14"/>
          <w:sz w:val="20"/>
        </w:rPr>
      </w:pPr>
      <w:r>
        <w:rPr>
          <w:rFonts w:ascii="Arial"/>
          <w:b/>
          <w:color w:val="BF5A14"/>
          <w:sz w:val="20"/>
        </w:rPr>
        <w:br/>
      </w: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r>
        <w:rPr>
          <w:rFonts w:ascii="Arial"/>
          <w:b/>
          <w:noProof/>
          <w:color w:val="FFFFFF" w:themeColor="background1"/>
          <w:sz w:val="20"/>
        </w:rPr>
        <w:drawing>
          <wp:anchor distT="0" distB="0" distL="114300" distR="114300" simplePos="0" relativeHeight="251663360" behindDoc="0" locked="0" layoutInCell="1" allowOverlap="1">
            <wp:simplePos x="0" y="0"/>
            <wp:positionH relativeFrom="column">
              <wp:posOffset>2944495</wp:posOffset>
            </wp:positionH>
            <wp:positionV relativeFrom="paragraph">
              <wp:posOffset>83820</wp:posOffset>
            </wp:positionV>
            <wp:extent cx="222250" cy="731520"/>
            <wp:effectExtent l="0" t="0" r="0" b="0"/>
            <wp:wrapNone/>
            <wp:docPr id="19" name="Objec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07777" cy="1099981"/>
                      <a:chOff x="8610600" y="1371600"/>
                      <a:chExt cx="307777" cy="1099981"/>
                    </a:xfrm>
                  </a:grpSpPr>
                  <a:sp>
                    <a:nvSpPr>
                      <a:cNvPr id="12" name="TextBox 11"/>
                      <a:cNvSpPr txBox="1"/>
                    </a:nvSpPr>
                    <a:spPr>
                      <a:xfrm rot="16200000">
                        <a:off x="8214498" y="1767702"/>
                        <a:ext cx="1099981" cy="307777"/>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b="1" dirty="0" smtClean="0">
                              <a:latin typeface="Arial" pitchFamily="34" charset="0"/>
                              <a:cs typeface="Arial" pitchFamily="34" charset="0"/>
                            </a:rPr>
                            <a:t>PD(W/cm</a:t>
                          </a:r>
                          <a:r>
                            <a:rPr lang="en-US" sz="1400" b="1" baseline="30000" dirty="0" smtClean="0">
                              <a:latin typeface="Arial" pitchFamily="34" charset="0"/>
                              <a:cs typeface="Arial" pitchFamily="34" charset="0"/>
                            </a:rPr>
                            <a:t>2</a:t>
                          </a:r>
                          <a:r>
                            <a:rPr lang="en-US" sz="1400" b="1" dirty="0" smtClean="0">
                              <a:latin typeface="Arial" pitchFamily="34" charset="0"/>
                              <a:cs typeface="Arial" pitchFamily="34" charset="0"/>
                            </a:rPr>
                            <a:t>)</a:t>
                          </a:r>
                          <a:endParaRPr lang="en-US" sz="1400" b="1" dirty="0">
                            <a:latin typeface="Arial" pitchFamily="34" charset="0"/>
                            <a:cs typeface="Arial" pitchFamily="34" charset="0"/>
                          </a:endParaRPr>
                        </a:p>
                      </a:txBody>
                      <a:useSpRect/>
                    </a:txSp>
                  </a:sp>
                </lc:lockedCanvas>
              </a:graphicData>
            </a:graphic>
          </wp:anchor>
        </w:drawing>
      </w:r>
      <w:r w:rsidRPr="000725B6">
        <w:rPr>
          <w:rFonts w:ascii="Arial"/>
          <w:b/>
          <w:noProof/>
          <w:color w:val="FFFFFF" w:themeColor="background1"/>
          <w:sz w:val="20"/>
        </w:rPr>
        <w:drawing>
          <wp:anchor distT="0" distB="0" distL="114300" distR="114300" simplePos="0" relativeHeight="251662336" behindDoc="0" locked="0" layoutInCell="1" allowOverlap="1">
            <wp:simplePos x="0" y="0"/>
            <wp:positionH relativeFrom="column">
              <wp:posOffset>1532890</wp:posOffset>
            </wp:positionH>
            <wp:positionV relativeFrom="paragraph">
              <wp:posOffset>83820</wp:posOffset>
            </wp:positionV>
            <wp:extent cx="197485" cy="833755"/>
            <wp:effectExtent l="0" t="0" r="0" b="0"/>
            <wp:wrapNone/>
            <wp:docPr id="17" name="Objec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38554" cy="1383712"/>
                      <a:chOff x="5715000" y="1371600"/>
                      <a:chExt cx="338554" cy="1383712"/>
                    </a:xfrm>
                  </a:grpSpPr>
                  <a:sp>
                    <a:nvSpPr>
                      <a:cNvPr id="11" name="TextBox 10"/>
                      <a:cNvSpPr txBox="1"/>
                    </a:nvSpPr>
                    <a:spPr>
                      <a:xfrm rot="16200000">
                        <a:off x="5192421" y="1894179"/>
                        <a:ext cx="1383712"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latin typeface="Arial" pitchFamily="34" charset="0"/>
                              <a:cs typeface="Arial" pitchFamily="34" charset="0"/>
                            </a:rPr>
                            <a:t>Potential (V)</a:t>
                          </a:r>
                          <a:endParaRPr lang="en-US" sz="1600" b="1" dirty="0">
                            <a:latin typeface="Arial" pitchFamily="34" charset="0"/>
                            <a:cs typeface="Arial" pitchFamily="34" charset="0"/>
                          </a:endParaRPr>
                        </a:p>
                      </a:txBody>
                      <a:useSpRect/>
                    </a:txSp>
                  </a:sp>
                </lc:lockedCanvas>
              </a:graphicData>
            </a:graphic>
          </wp:anchor>
        </w:drawing>
      </w:r>
      <w:r>
        <w:rPr>
          <w:rFonts w:ascii="Arial"/>
          <w:b/>
          <w:noProof/>
          <w:color w:val="BF5A14"/>
          <w:sz w:val="20"/>
        </w:rPr>
        <w:drawing>
          <wp:anchor distT="0" distB="0" distL="114300" distR="114300" simplePos="0" relativeHeight="251661312" behindDoc="0" locked="0" layoutInCell="1" allowOverlap="1">
            <wp:simplePos x="0" y="0"/>
            <wp:positionH relativeFrom="column">
              <wp:posOffset>1730375</wp:posOffset>
            </wp:positionH>
            <wp:positionV relativeFrom="paragraph">
              <wp:posOffset>83820</wp:posOffset>
            </wp:positionV>
            <wp:extent cx="1330960" cy="1016635"/>
            <wp:effectExtent l="0" t="0" r="0" b="0"/>
            <wp:wrapNone/>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1330960" cy="1016635"/>
                    </a:xfrm>
                    <a:prstGeom prst="rect">
                      <a:avLst/>
                    </a:prstGeom>
                    <a:noFill/>
                  </pic:spPr>
                </pic:pic>
              </a:graphicData>
            </a:graphic>
          </wp:anchor>
        </w:drawing>
      </w: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F5156E" w:rsidP="005973B9">
      <w:pPr>
        <w:spacing w:line="204" w:lineRule="exact"/>
        <w:rPr>
          <w:rFonts w:ascii="Arial"/>
          <w:b/>
          <w:color w:val="BF5A14"/>
          <w:sz w:val="20"/>
        </w:rPr>
      </w:pPr>
      <w:r>
        <w:rPr>
          <w:rFonts w:ascii="Arial"/>
          <w:b/>
          <w:noProof/>
          <w:color w:val="BF5A14"/>
          <w:sz w:val="20"/>
        </w:rPr>
        <w:drawing>
          <wp:anchor distT="0" distB="0" distL="114300" distR="114300" simplePos="0" relativeHeight="251665408" behindDoc="0" locked="0" layoutInCell="1" allowOverlap="1">
            <wp:simplePos x="0" y="0"/>
            <wp:positionH relativeFrom="column">
              <wp:posOffset>2139950</wp:posOffset>
            </wp:positionH>
            <wp:positionV relativeFrom="paragraph">
              <wp:posOffset>40640</wp:posOffset>
            </wp:positionV>
            <wp:extent cx="335915" cy="277495"/>
            <wp:effectExtent l="0" t="0" r="0" b="0"/>
            <wp:wrapNone/>
            <wp:docPr id="24"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0000" cy="338554"/>
                      <a:chOff x="6019800" y="3886200"/>
                      <a:chExt cx="470000" cy="338554"/>
                    </a:xfrm>
                  </a:grpSpPr>
                  <a:sp>
                    <a:nvSpPr>
                      <a:cNvPr id="16" name="TextBox 15"/>
                      <a:cNvSpPr txBox="1"/>
                    </a:nvSpPr>
                    <a:spPr>
                      <a:xfrm>
                        <a:off x="6019800" y="3886200"/>
                        <a:ext cx="470000"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latin typeface="Arial" pitchFamily="34" charset="0"/>
                              <a:cs typeface="Arial" pitchFamily="34" charset="0"/>
                            </a:rPr>
                            <a:t>(B)</a:t>
                          </a:r>
                          <a:endParaRPr lang="en-US" sz="1600" b="1" dirty="0">
                            <a:latin typeface="Arial" pitchFamily="34" charset="0"/>
                            <a:cs typeface="Arial" pitchFamily="34" charset="0"/>
                          </a:endParaRPr>
                        </a:p>
                      </a:txBody>
                      <a:useSpRect/>
                    </a:txSp>
                  </a:sp>
                </lc:lockedCanvas>
              </a:graphicData>
            </a:graphic>
          </wp:anchor>
        </w:drawing>
      </w: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0725B6" w:rsidRDefault="00F5156E" w:rsidP="005973B9">
      <w:pPr>
        <w:spacing w:line="204" w:lineRule="exact"/>
        <w:rPr>
          <w:rFonts w:ascii="Arial"/>
          <w:b/>
          <w:color w:val="BF5A14"/>
          <w:sz w:val="20"/>
        </w:rPr>
      </w:pPr>
      <w:r>
        <w:rPr>
          <w:rFonts w:ascii="Arial"/>
          <w:b/>
          <w:noProof/>
          <w:color w:val="BF5A14"/>
          <w:sz w:val="20"/>
        </w:rPr>
        <w:drawing>
          <wp:anchor distT="0" distB="0" distL="114300" distR="114300" simplePos="0" relativeHeight="251664384" behindDoc="0" locked="0" layoutInCell="1" allowOverlap="1">
            <wp:simplePos x="0" y="0"/>
            <wp:positionH relativeFrom="column">
              <wp:posOffset>1913636</wp:posOffset>
            </wp:positionH>
            <wp:positionV relativeFrom="paragraph">
              <wp:posOffset>35052</wp:posOffset>
            </wp:positionV>
            <wp:extent cx="848563" cy="197511"/>
            <wp:effectExtent l="0" t="0" r="0" b="0"/>
            <wp:wrapNone/>
            <wp:docPr id="21" name="Object 1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252266" cy="338554"/>
                      <a:chOff x="6705600" y="3200400"/>
                      <a:chExt cx="1252266" cy="338554"/>
                    </a:xfrm>
                  </a:grpSpPr>
                  <a:sp>
                    <a:nvSpPr>
                      <a:cNvPr id="13" name="TextBox 12"/>
                      <a:cNvSpPr txBox="1"/>
                    </a:nvSpPr>
                    <a:spPr>
                      <a:xfrm>
                        <a:off x="6705600" y="3200400"/>
                        <a:ext cx="1252266" cy="338554"/>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latin typeface="Arial" pitchFamily="34" charset="0"/>
                              <a:cs typeface="Arial" pitchFamily="34" charset="0"/>
                            </a:rPr>
                            <a:t>CD (A/cm</a:t>
                          </a:r>
                          <a:r>
                            <a:rPr lang="en-US" sz="1600" b="1" baseline="30000" dirty="0" smtClean="0">
                              <a:latin typeface="Arial" pitchFamily="34" charset="0"/>
                              <a:cs typeface="Arial" pitchFamily="34" charset="0"/>
                            </a:rPr>
                            <a:t>2</a:t>
                          </a:r>
                          <a:r>
                            <a:rPr lang="en-US" sz="1600" b="1" dirty="0" smtClean="0">
                              <a:latin typeface="Arial" pitchFamily="34" charset="0"/>
                              <a:cs typeface="Arial" pitchFamily="34" charset="0"/>
                            </a:rPr>
                            <a:t>)</a:t>
                          </a:r>
                          <a:endParaRPr lang="en-US" sz="1600" b="1" dirty="0">
                            <a:latin typeface="Arial" pitchFamily="34" charset="0"/>
                            <a:cs typeface="Arial" pitchFamily="34" charset="0"/>
                          </a:endParaRPr>
                        </a:p>
                      </a:txBody>
                      <a:useSpRect/>
                    </a:txSp>
                  </a:sp>
                </lc:lockedCanvas>
              </a:graphicData>
            </a:graphic>
          </wp:anchor>
        </w:drawing>
      </w:r>
    </w:p>
    <w:p w:rsidR="000725B6" w:rsidRDefault="00F5156E" w:rsidP="005973B9">
      <w:pPr>
        <w:spacing w:line="204" w:lineRule="exact"/>
        <w:rPr>
          <w:rFonts w:ascii="Arial"/>
          <w:b/>
          <w:color w:val="BF5A14"/>
          <w:sz w:val="20"/>
        </w:rPr>
      </w:pPr>
      <w:r>
        <w:rPr>
          <w:rFonts w:ascii="Arial"/>
          <w:b/>
          <w:noProof/>
          <w:color w:val="BF5A14"/>
          <w:sz w:val="20"/>
        </w:rPr>
        <w:drawing>
          <wp:anchor distT="0" distB="0" distL="114300" distR="114300" simplePos="0" relativeHeight="251667456" behindDoc="0" locked="0" layoutInCell="1" allowOverlap="1">
            <wp:simplePos x="0" y="0"/>
            <wp:positionH relativeFrom="column">
              <wp:posOffset>347980</wp:posOffset>
            </wp:positionH>
            <wp:positionV relativeFrom="paragraph">
              <wp:posOffset>59055</wp:posOffset>
            </wp:positionV>
            <wp:extent cx="2903855" cy="321310"/>
            <wp:effectExtent l="0" t="0" r="0" b="0"/>
            <wp:wrapNone/>
            <wp:docPr id="26" name="Object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715000" cy="584775"/>
                      <a:chOff x="914400" y="3886200"/>
                      <a:chExt cx="5715000" cy="584775"/>
                    </a:xfrm>
                  </a:grpSpPr>
                  <a:sp>
                    <a:nvSpPr>
                      <a:cNvPr id="16" name="TextBox 15"/>
                      <a:cNvSpPr txBox="1"/>
                    </a:nvSpPr>
                    <a:spPr>
                      <a:xfrm>
                        <a:off x="914400" y="3886200"/>
                        <a:ext cx="5715000" cy="584775"/>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latin typeface="Arial" pitchFamily="34" charset="0"/>
                              <a:cs typeface="Arial" pitchFamily="34" charset="0"/>
                            </a:rPr>
                            <a:t>Fig 1: (A)TEM image of the ceria doped YSZ, (B) electrochemical performance of the cell</a:t>
                          </a:r>
                          <a:endParaRPr lang="en-US" sz="1600" b="1" dirty="0">
                            <a:latin typeface="Arial" pitchFamily="34" charset="0"/>
                            <a:cs typeface="Arial" pitchFamily="34" charset="0"/>
                          </a:endParaRPr>
                        </a:p>
                      </a:txBody>
                      <a:useSpRect/>
                    </a:txSp>
                  </a:sp>
                </lc:lockedCanvas>
              </a:graphicData>
            </a:graphic>
          </wp:anchor>
        </w:drawing>
      </w:r>
    </w:p>
    <w:p w:rsidR="000725B6" w:rsidRDefault="000725B6" w:rsidP="005973B9">
      <w:pPr>
        <w:spacing w:line="204" w:lineRule="exact"/>
        <w:rPr>
          <w:rFonts w:ascii="Arial"/>
          <w:b/>
          <w:color w:val="BF5A14"/>
          <w:sz w:val="20"/>
        </w:rPr>
      </w:pPr>
    </w:p>
    <w:p w:rsidR="000725B6" w:rsidRDefault="000725B6"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bookmarkStart w:id="0" w:name="baep-author-id7"/>
    <w:p w:rsidR="007A0240" w:rsidRPr="007A0240" w:rsidRDefault="00C812F2" w:rsidP="00FA516E">
      <w:pPr>
        <w:pStyle w:val="ListParagraph"/>
        <w:numPr>
          <w:ilvl w:val="0"/>
          <w:numId w:val="3"/>
        </w:numPr>
        <w:spacing w:line="240" w:lineRule="auto"/>
        <w:rPr>
          <w:sz w:val="18"/>
        </w:rPr>
      </w:pPr>
      <w:r w:rsidRPr="007A0240">
        <w:rPr>
          <w:sz w:val="18"/>
        </w:rPr>
        <w:fldChar w:fldCharType="begin"/>
      </w:r>
      <w:r w:rsidR="007A0240" w:rsidRPr="007A0240">
        <w:rPr>
          <w:sz w:val="18"/>
        </w:rPr>
        <w:instrText xml:space="preserve"> HYPERLINK "https://www.sciencedirect.com/science/article/abs/pii/S0926860X00006505" \l "!" </w:instrText>
      </w:r>
      <w:r w:rsidRPr="007A0240">
        <w:rPr>
          <w:sz w:val="18"/>
        </w:rPr>
        <w:fldChar w:fldCharType="separate"/>
      </w:r>
      <w:r w:rsidR="007A0240" w:rsidRPr="007A0240">
        <w:rPr>
          <w:sz w:val="18"/>
        </w:rPr>
        <w:t>Park</w:t>
      </w:r>
      <w:r w:rsidRPr="007A0240">
        <w:rPr>
          <w:sz w:val="18"/>
        </w:rPr>
        <w:fldChar w:fldCharType="end"/>
      </w:r>
      <w:bookmarkStart w:id="1" w:name="baep-author-id8"/>
      <w:bookmarkEnd w:id="0"/>
      <w:r w:rsidR="007A0240">
        <w:rPr>
          <w:sz w:val="18"/>
        </w:rPr>
        <w:t xml:space="preserve"> S</w:t>
      </w:r>
      <w:r w:rsidR="007A0240" w:rsidRPr="007A0240">
        <w:rPr>
          <w:sz w:val="18"/>
        </w:rPr>
        <w:t xml:space="preserve">, </w:t>
      </w:r>
      <w:hyperlink r:id="rId12" w:anchor="!" w:history="1">
        <w:r w:rsidR="007A0240" w:rsidRPr="007A0240">
          <w:rPr>
            <w:sz w:val="18"/>
          </w:rPr>
          <w:t xml:space="preserve"> Gorte</w:t>
        </w:r>
      </w:hyperlink>
      <w:bookmarkStart w:id="2" w:name="baep-author-id9"/>
      <w:bookmarkEnd w:id="1"/>
      <w:r w:rsidR="007A0240">
        <w:rPr>
          <w:sz w:val="18"/>
        </w:rPr>
        <w:t xml:space="preserve"> RJ</w:t>
      </w:r>
      <w:r w:rsidR="007A0240" w:rsidRPr="007A0240">
        <w:rPr>
          <w:sz w:val="18"/>
        </w:rPr>
        <w:t xml:space="preserve">, </w:t>
      </w:r>
      <w:hyperlink r:id="rId13" w:anchor="!" w:history="1">
        <w:r w:rsidR="007A0240" w:rsidRPr="007A0240">
          <w:rPr>
            <w:sz w:val="18"/>
          </w:rPr>
          <w:t>Vohs</w:t>
        </w:r>
      </w:hyperlink>
      <w:bookmarkEnd w:id="2"/>
      <w:r w:rsidR="007A0240">
        <w:rPr>
          <w:sz w:val="18"/>
        </w:rPr>
        <w:t xml:space="preserve"> JM</w:t>
      </w:r>
      <w:r w:rsidR="007A0240" w:rsidRPr="007A0240">
        <w:rPr>
          <w:sz w:val="18"/>
        </w:rPr>
        <w:t xml:space="preserve">, (2016) Applications of heterogeneous catalysis in the direct oxidation of hydrocarbons in a solid-oxide fuel cell </w:t>
      </w:r>
      <w:hyperlink r:id="rId14" w:tooltip="Go to Applied Catalysis A: General on ScienceDirect" w:history="1">
        <w:r w:rsidR="007A0240" w:rsidRPr="007A0240">
          <w:rPr>
            <w:sz w:val="18"/>
          </w:rPr>
          <w:t>Applied Catalysis A: General</w:t>
        </w:r>
      </w:hyperlink>
      <w:r w:rsidR="007A0240" w:rsidRPr="007A0240">
        <w:rPr>
          <w:sz w:val="18"/>
        </w:rPr>
        <w:t xml:space="preserve"> </w:t>
      </w:r>
      <w:hyperlink r:id="rId15" w:tooltip="Go to table of contents for this volume/issue" w:history="1">
        <w:r w:rsidR="007A0240" w:rsidRPr="007A0240">
          <w:rPr>
            <w:sz w:val="18"/>
          </w:rPr>
          <w:t>200 (1–2</w:t>
        </w:r>
      </w:hyperlink>
      <w:r w:rsidR="007A0240">
        <w:rPr>
          <w:sz w:val="18"/>
        </w:rPr>
        <w:t>):</w:t>
      </w:r>
      <w:r w:rsidR="007A0240" w:rsidRPr="007A0240">
        <w:rPr>
          <w:sz w:val="18"/>
        </w:rPr>
        <w:t xml:space="preserve"> 55-61</w:t>
      </w:r>
    </w:p>
    <w:p w:rsidR="007A0240" w:rsidRPr="007A0240" w:rsidRDefault="00C812F2" w:rsidP="00FA516E">
      <w:pPr>
        <w:pStyle w:val="ListParagraph"/>
        <w:numPr>
          <w:ilvl w:val="0"/>
          <w:numId w:val="3"/>
        </w:numPr>
        <w:spacing w:line="240" w:lineRule="auto"/>
        <w:rPr>
          <w:sz w:val="18"/>
        </w:rPr>
      </w:pPr>
      <w:hyperlink r:id="rId16" w:history="1">
        <w:r w:rsidR="007A0240" w:rsidRPr="007A0240">
          <w:rPr>
            <w:sz w:val="18"/>
          </w:rPr>
          <w:t>Patel</w:t>
        </w:r>
      </w:hyperlink>
      <w:r w:rsidR="007A0240" w:rsidRPr="007A0240">
        <w:rPr>
          <w:sz w:val="18"/>
        </w:rPr>
        <w:t> </w:t>
      </w:r>
      <w:r w:rsidR="007A0240">
        <w:rPr>
          <w:sz w:val="18"/>
        </w:rPr>
        <w:t>S</w:t>
      </w:r>
      <w:r w:rsidR="007A0240" w:rsidRPr="007A0240">
        <w:rPr>
          <w:sz w:val="18"/>
        </w:rPr>
        <w:t xml:space="preserve">, </w:t>
      </w:r>
      <w:hyperlink r:id="rId17" w:history="1">
        <w:r w:rsidR="007A0240" w:rsidRPr="007A0240">
          <w:rPr>
            <w:sz w:val="18"/>
          </w:rPr>
          <w:t>Jawlik</w:t>
        </w:r>
      </w:hyperlink>
      <w:r w:rsidR="007A0240">
        <w:rPr>
          <w:sz w:val="18"/>
        </w:rPr>
        <w:t xml:space="preserve"> PF</w:t>
      </w:r>
      <w:r w:rsidR="007A0240" w:rsidRPr="007A0240">
        <w:rPr>
          <w:sz w:val="18"/>
        </w:rPr>
        <w:t>, </w:t>
      </w:r>
      <w:hyperlink r:id="rId18" w:history="1">
        <w:r w:rsidR="007A0240" w:rsidRPr="007A0240">
          <w:rPr>
            <w:sz w:val="18"/>
          </w:rPr>
          <w:t>Wang</w:t>
        </w:r>
      </w:hyperlink>
      <w:r w:rsidR="007A0240">
        <w:rPr>
          <w:sz w:val="18"/>
        </w:rPr>
        <w:t xml:space="preserve"> L</w:t>
      </w:r>
      <w:r w:rsidR="007A0240" w:rsidRPr="007A0240">
        <w:rPr>
          <w:sz w:val="18"/>
        </w:rPr>
        <w:t xml:space="preserve">, </w:t>
      </w:r>
      <w:hyperlink r:id="rId19" w:history="1">
        <w:r w:rsidR="007A0240" w:rsidRPr="007A0240">
          <w:rPr>
            <w:sz w:val="18"/>
          </w:rPr>
          <w:t>Jackson</w:t>
        </w:r>
      </w:hyperlink>
      <w:r w:rsidR="007A0240" w:rsidRPr="007A0240">
        <w:rPr>
          <w:sz w:val="18"/>
        </w:rPr>
        <w:t> </w:t>
      </w:r>
      <w:r w:rsidR="007A0240">
        <w:rPr>
          <w:sz w:val="18"/>
        </w:rPr>
        <w:t>GS</w:t>
      </w:r>
      <w:r w:rsidR="007A0240" w:rsidRPr="007A0240">
        <w:rPr>
          <w:sz w:val="18"/>
        </w:rPr>
        <w:t>, </w:t>
      </w:r>
      <w:hyperlink r:id="rId20" w:history="1">
        <w:r w:rsidR="007A0240" w:rsidRPr="007A0240">
          <w:rPr>
            <w:sz w:val="18"/>
          </w:rPr>
          <w:t>Almansoori</w:t>
        </w:r>
      </w:hyperlink>
      <w:r w:rsidR="007A0240">
        <w:rPr>
          <w:sz w:val="18"/>
        </w:rPr>
        <w:t xml:space="preserve"> A</w:t>
      </w:r>
      <w:r w:rsidR="007A0240" w:rsidRPr="007A0240">
        <w:rPr>
          <w:sz w:val="18"/>
        </w:rPr>
        <w:t xml:space="preserve">, (2012) Impact of Cofiring Ceria in Ni/YSZ SOFC Anodes for Operation with Syngas and n-Butane, </w:t>
      </w:r>
      <w:r w:rsidR="007A0240" w:rsidRPr="007A0240">
        <w:rPr>
          <w:i/>
          <w:iCs/>
          <w:sz w:val="18"/>
        </w:rPr>
        <w:t>J. Fuel Cell Sci. Technol</w:t>
      </w:r>
      <w:r w:rsidR="007A0240" w:rsidRPr="007A0240">
        <w:rPr>
          <w:sz w:val="18"/>
        </w:rPr>
        <w:t>, 9(4): 041002</w:t>
      </w:r>
    </w:p>
    <w:p w:rsidR="007A0240" w:rsidRPr="007A0240" w:rsidRDefault="007A0240" w:rsidP="007A0240">
      <w:pPr>
        <w:pStyle w:val="ListParagraph"/>
        <w:numPr>
          <w:ilvl w:val="0"/>
          <w:numId w:val="3"/>
        </w:numPr>
        <w:spacing w:line="240" w:lineRule="auto"/>
        <w:rPr>
          <w:sz w:val="18"/>
        </w:rPr>
      </w:pPr>
      <w:r w:rsidRPr="007A0240">
        <w:rPr>
          <w:sz w:val="18"/>
        </w:rPr>
        <w:t>Atkinson</w:t>
      </w:r>
      <w:r>
        <w:rPr>
          <w:sz w:val="18"/>
        </w:rPr>
        <w:t xml:space="preserve"> A, </w:t>
      </w:r>
      <w:r w:rsidRPr="007A0240">
        <w:rPr>
          <w:sz w:val="18"/>
        </w:rPr>
        <w:t>Barnett</w:t>
      </w:r>
      <w:r>
        <w:rPr>
          <w:sz w:val="18"/>
        </w:rPr>
        <w:t xml:space="preserve"> S, </w:t>
      </w:r>
      <w:r w:rsidRPr="007A0240">
        <w:rPr>
          <w:sz w:val="18"/>
        </w:rPr>
        <w:t>Gorte</w:t>
      </w:r>
      <w:r>
        <w:rPr>
          <w:sz w:val="18"/>
        </w:rPr>
        <w:t xml:space="preserve"> RJ</w:t>
      </w:r>
      <w:r w:rsidR="00FA516E">
        <w:rPr>
          <w:sz w:val="18"/>
        </w:rPr>
        <w:t xml:space="preserve">, </w:t>
      </w:r>
      <w:r w:rsidRPr="007A0240">
        <w:rPr>
          <w:sz w:val="18"/>
        </w:rPr>
        <w:t>Irvine</w:t>
      </w:r>
      <w:r>
        <w:rPr>
          <w:sz w:val="18"/>
        </w:rPr>
        <w:t xml:space="preserve"> TS</w:t>
      </w:r>
      <w:r w:rsidR="00FA516E">
        <w:rPr>
          <w:sz w:val="18"/>
        </w:rPr>
        <w:t xml:space="preserve">, </w:t>
      </w:r>
      <w:r w:rsidRPr="007A0240">
        <w:rPr>
          <w:sz w:val="18"/>
        </w:rPr>
        <w:t>McEvoy</w:t>
      </w:r>
      <w:r w:rsidR="00FA516E">
        <w:rPr>
          <w:sz w:val="18"/>
        </w:rPr>
        <w:t xml:space="preserve"> AJ</w:t>
      </w:r>
      <w:r w:rsidRPr="007A0240">
        <w:rPr>
          <w:sz w:val="18"/>
        </w:rPr>
        <w:t>, Mogensen</w:t>
      </w:r>
      <w:r w:rsidR="00FA516E">
        <w:rPr>
          <w:sz w:val="18"/>
        </w:rPr>
        <w:t xml:space="preserve"> MB, </w:t>
      </w:r>
      <w:r w:rsidRPr="007A0240">
        <w:rPr>
          <w:sz w:val="18"/>
        </w:rPr>
        <w:t>Singhal</w:t>
      </w:r>
      <w:r w:rsidR="00FA516E">
        <w:rPr>
          <w:sz w:val="18"/>
        </w:rPr>
        <w:t xml:space="preserve"> S, and </w:t>
      </w:r>
      <w:r w:rsidRPr="007A0240">
        <w:rPr>
          <w:sz w:val="18"/>
        </w:rPr>
        <w:t>Voh</w:t>
      </w:r>
      <w:r w:rsidR="00FA516E">
        <w:rPr>
          <w:sz w:val="18"/>
        </w:rPr>
        <w:t xml:space="preserve"> JM</w:t>
      </w:r>
      <w:r w:rsidRPr="007A0240">
        <w:rPr>
          <w:sz w:val="18"/>
        </w:rPr>
        <w:t>, (2004) Advanced Anodes for High Temperature Fuel Cells, Nature Materials, 3</w:t>
      </w:r>
      <w:r>
        <w:rPr>
          <w:sz w:val="18"/>
        </w:rPr>
        <w:t xml:space="preserve">: </w:t>
      </w:r>
      <w:r w:rsidRPr="007A0240">
        <w:rPr>
          <w:sz w:val="18"/>
        </w:rPr>
        <w:t>213-223</w:t>
      </w:r>
    </w:p>
    <w:p w:rsidR="00FA516E" w:rsidRDefault="00FA516E" w:rsidP="00FA516E">
      <w:pPr>
        <w:pStyle w:val="ListParagraph"/>
        <w:numPr>
          <w:ilvl w:val="0"/>
          <w:numId w:val="3"/>
        </w:numPr>
        <w:shd w:val="clear" w:color="auto" w:fill="FFFFFF"/>
        <w:textAlignment w:val="baseline"/>
        <w:rPr>
          <w:sz w:val="18"/>
        </w:rPr>
      </w:pPr>
      <w:r w:rsidRPr="00FA516E">
        <w:rPr>
          <w:sz w:val="18"/>
        </w:rPr>
        <w:t>Liu</w:t>
      </w:r>
      <w:r>
        <w:rPr>
          <w:sz w:val="18"/>
        </w:rPr>
        <w:t xml:space="preserve"> M</w:t>
      </w:r>
      <w:r w:rsidRPr="00FA516E">
        <w:rPr>
          <w:sz w:val="18"/>
        </w:rPr>
        <w:t>, Ding</w:t>
      </w:r>
      <w:r>
        <w:rPr>
          <w:sz w:val="18"/>
        </w:rPr>
        <w:t xml:space="preserve"> D</w:t>
      </w:r>
      <w:r w:rsidRPr="00FA516E">
        <w:rPr>
          <w:sz w:val="18"/>
        </w:rPr>
        <w:t>, </w:t>
      </w:r>
      <w:hyperlink r:id="rId21" w:history="1">
        <w:r w:rsidRPr="00FA516E">
          <w:rPr>
            <w:sz w:val="18"/>
          </w:rPr>
          <w:t>Bai</w:t>
        </w:r>
      </w:hyperlink>
      <w:r>
        <w:rPr>
          <w:sz w:val="18"/>
        </w:rPr>
        <w:t xml:space="preserve"> Y</w:t>
      </w:r>
      <w:r w:rsidRPr="00FA516E">
        <w:rPr>
          <w:sz w:val="18"/>
        </w:rPr>
        <w:t>, </w:t>
      </w:r>
      <w:hyperlink r:id="rId22" w:history="1">
        <w:r w:rsidRPr="00FA516E">
          <w:rPr>
            <w:sz w:val="18"/>
          </w:rPr>
          <w:t>He</w:t>
        </w:r>
      </w:hyperlink>
      <w:r>
        <w:rPr>
          <w:sz w:val="18"/>
        </w:rPr>
        <w:t xml:space="preserve"> T</w:t>
      </w:r>
      <w:r w:rsidRPr="00FA516E">
        <w:rPr>
          <w:sz w:val="18"/>
        </w:rPr>
        <w:t xml:space="preserve">, and Liu </w:t>
      </w:r>
      <w:r>
        <w:rPr>
          <w:sz w:val="18"/>
        </w:rPr>
        <w:t xml:space="preserve">M </w:t>
      </w:r>
      <w:r w:rsidRPr="00FA516E">
        <w:rPr>
          <w:sz w:val="18"/>
        </w:rPr>
        <w:t>(2012) An Efficient SOFC Based on Samaria-Doped Ceria (SDC) Electrolyte</w:t>
      </w:r>
      <w:r>
        <w:rPr>
          <w:sz w:val="18"/>
        </w:rPr>
        <w:t xml:space="preserve">, </w:t>
      </w:r>
      <w:r w:rsidRPr="00FA516E">
        <w:rPr>
          <w:sz w:val="18"/>
        </w:rPr>
        <w:t>J. Electrochem. Soc. 159(6)</w:t>
      </w:r>
      <w:r>
        <w:rPr>
          <w:sz w:val="18"/>
        </w:rPr>
        <w:t>:</w:t>
      </w:r>
      <w:r w:rsidRPr="00FA516E">
        <w:rPr>
          <w:sz w:val="18"/>
        </w:rPr>
        <w:t> B661-B665</w:t>
      </w:r>
    </w:p>
    <w:p w:rsidR="00FA516E" w:rsidRPr="00FA516E" w:rsidRDefault="00C812F2" w:rsidP="00FA516E">
      <w:pPr>
        <w:pStyle w:val="ListParagraph"/>
        <w:numPr>
          <w:ilvl w:val="0"/>
          <w:numId w:val="3"/>
        </w:numPr>
        <w:shd w:val="clear" w:color="auto" w:fill="FFFFFF"/>
        <w:textAlignment w:val="baseline"/>
        <w:rPr>
          <w:sz w:val="18"/>
        </w:rPr>
      </w:pPr>
      <w:hyperlink r:id="rId23" w:history="1">
        <w:r w:rsidR="00FA516E" w:rsidRPr="00FA516E">
          <w:rPr>
            <w:sz w:val="18"/>
          </w:rPr>
          <w:t>Xu</w:t>
        </w:r>
      </w:hyperlink>
      <w:r w:rsidR="00FA516E">
        <w:rPr>
          <w:sz w:val="18"/>
        </w:rPr>
        <w:t xml:space="preserve"> X</w:t>
      </w:r>
      <w:r w:rsidR="00FA516E" w:rsidRPr="00FA516E">
        <w:rPr>
          <w:sz w:val="18"/>
        </w:rPr>
        <w:t>, Zhou</w:t>
      </w:r>
      <w:r w:rsidR="00FA516E">
        <w:rPr>
          <w:sz w:val="18"/>
        </w:rPr>
        <w:t xml:space="preserve"> W</w:t>
      </w:r>
      <w:r w:rsidR="00FA516E" w:rsidRPr="00FA516E">
        <w:rPr>
          <w:sz w:val="18"/>
        </w:rPr>
        <w:t>, Zhu</w:t>
      </w:r>
      <w:r w:rsidR="00FA516E">
        <w:rPr>
          <w:sz w:val="18"/>
        </w:rPr>
        <w:t xml:space="preserve"> Z (2013) </w:t>
      </w:r>
      <w:r w:rsidR="00FA516E" w:rsidRPr="00FA516E">
        <w:rPr>
          <w:sz w:val="18"/>
        </w:rPr>
        <w:t>Samaria-Doped Ceria Electrolyte Supported Direct Carbon Fuel Cell with Molten Antimony as the Anode, Ind. Eng. Chem. Res., 52</w:t>
      </w:r>
      <w:r w:rsidR="00FA516E">
        <w:rPr>
          <w:sz w:val="18"/>
        </w:rPr>
        <w:t xml:space="preserve">: </w:t>
      </w:r>
      <w:r w:rsidR="00FA516E" w:rsidRPr="00FA516E">
        <w:rPr>
          <w:sz w:val="18"/>
        </w:rPr>
        <w:t>17927-17933</w:t>
      </w:r>
    </w:p>
    <w:p w:rsidR="00AE3E37" w:rsidRPr="008756E6" w:rsidRDefault="00AE3E37" w:rsidP="00FA516E">
      <w:pPr>
        <w:pStyle w:val="BodyText"/>
        <w:spacing w:before="85" w:line="216" w:lineRule="exact"/>
        <w:ind w:left="383" w:right="138" w:hanging="284"/>
        <w:jc w:val="both"/>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C812F2">
      <w:pPr>
        <w:pStyle w:val="BodyText"/>
        <w:spacing w:line="40" w:lineRule="exact"/>
        <w:ind w:left="2202"/>
        <w:rPr>
          <w:rFonts w:ascii="Calibri"/>
          <w:sz w:val="4"/>
        </w:rPr>
      </w:pPr>
      <w:r w:rsidRPr="00C812F2">
        <w:rPr>
          <w:rFonts w:ascii="Calibri"/>
          <w:noProof/>
          <w:sz w:val="4"/>
          <w:lang w:val="en-IN" w:eastAsia="en-IN"/>
        </w:rPr>
      </w:r>
      <w:r w:rsidRPr="00C812F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910C1" w:rsidRDefault="00D910C1" w:rsidP="00404E5B">
      <w:pPr>
        <w:spacing w:before="92"/>
        <w:ind w:right="4234"/>
        <w:rPr>
          <w:noProof/>
        </w:rPr>
      </w:pPr>
      <w:r>
        <w:rPr>
          <w:rFonts w:ascii="Arial"/>
          <w:noProof/>
        </w:rPr>
        <w:drawing>
          <wp:anchor distT="0" distB="0" distL="114300" distR="114300" simplePos="0" relativeHeight="251668480" behindDoc="1" locked="0" layoutInCell="1" allowOverlap="1">
            <wp:simplePos x="0" y="0"/>
            <wp:positionH relativeFrom="column">
              <wp:posOffset>20371</wp:posOffset>
            </wp:positionH>
            <wp:positionV relativeFrom="paragraph">
              <wp:posOffset>58623</wp:posOffset>
            </wp:positionV>
            <wp:extent cx="953871" cy="716890"/>
            <wp:effectExtent l="19050" t="0" r="0" b="0"/>
            <wp:wrapTight wrapText="bothSides">
              <wp:wrapPolygon edited="0">
                <wp:start x="-431" y="0"/>
                <wp:lineTo x="-431" y="21237"/>
                <wp:lineTo x="21569" y="21237"/>
                <wp:lineTo x="21569" y="0"/>
                <wp:lineTo x="-431" y="0"/>
              </wp:wrapPolygon>
            </wp:wrapTight>
            <wp:docPr id="2" name="Picture 0"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24" cstate="print"/>
                    <a:stretch>
                      <a:fillRect/>
                    </a:stretch>
                  </pic:blipFill>
                  <pic:spPr>
                    <a:xfrm>
                      <a:off x="0" y="0"/>
                      <a:ext cx="953871" cy="716890"/>
                    </a:xfrm>
                    <a:prstGeom prst="rect">
                      <a:avLst/>
                    </a:prstGeom>
                  </pic:spPr>
                </pic:pic>
              </a:graphicData>
            </a:graphic>
          </wp:anchor>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7379FD">
        <w:rPr>
          <w:rFonts w:ascii="Arial"/>
          <w:sz w:val="14"/>
        </w:rPr>
        <w:t xml:space="preserve">Pati </w:t>
      </w:r>
      <w:r w:rsidR="00F5156E">
        <w:rPr>
          <w:rFonts w:ascii="Arial"/>
          <w:sz w:val="14"/>
        </w:rPr>
        <w:t>has his</w:t>
      </w:r>
      <w:r>
        <w:rPr>
          <w:rFonts w:ascii="Arial"/>
          <w:sz w:val="14"/>
        </w:rPr>
        <w:t xml:space="preserve"> expertise in </w:t>
      </w:r>
      <w:r w:rsidR="00F5156E">
        <w:rPr>
          <w:rFonts w:ascii="Arial"/>
          <w:sz w:val="14"/>
        </w:rPr>
        <w:t xml:space="preserve">synthesis, characterization and evaluation of </w:t>
      </w:r>
      <w:r w:rsidR="00D910C1">
        <w:rPr>
          <w:rFonts w:ascii="Arial"/>
          <w:sz w:val="14"/>
        </w:rPr>
        <w:t xml:space="preserve">the properties of </w:t>
      </w:r>
      <w:r w:rsidR="00F5156E">
        <w:rPr>
          <w:rFonts w:ascii="Arial"/>
          <w:sz w:val="14"/>
        </w:rPr>
        <w:t>nanocrystalline materials used in energy applications.  He has completed his PhD from Indian Institute of Technology Kharagpur and worked as a scientist at the Chemical and Biomolecular Engineering at the University of Maryland</w:t>
      </w:r>
      <w:r w:rsidR="00E856ED">
        <w:rPr>
          <w:rFonts w:ascii="Arial"/>
          <w:sz w:val="14"/>
        </w:rPr>
        <w:t>.  Dr Pati</w:t>
      </w:r>
      <w:r w:rsidR="00E856ED">
        <w:rPr>
          <w:rFonts w:ascii="Arial"/>
          <w:sz w:val="14"/>
        </w:rPr>
        <w:t>’</w:t>
      </w:r>
      <w:r w:rsidR="00E856ED">
        <w:rPr>
          <w:rFonts w:ascii="Arial"/>
          <w:sz w:val="14"/>
        </w:rPr>
        <w:t xml:space="preserve">s research area is mainly on different kinds of fuel cell materials and his group is working on new materials which are used at low temperature SOFC.  </w:t>
      </w:r>
    </w:p>
    <w:p w:rsidR="00AE3E37" w:rsidRPr="00D910C1" w:rsidRDefault="00A9710C" w:rsidP="00D910C1">
      <w:pPr>
        <w:spacing w:before="62"/>
        <w:ind w:left="4217" w:right="4235"/>
        <w:jc w:val="center"/>
        <w:rPr>
          <w:rFonts w:ascii="Arial"/>
          <w:sz w:val="14"/>
        </w:rPr>
        <w:sectPr w:rsidR="00AE3E37" w:rsidRPr="00D910C1">
          <w:type w:val="continuous"/>
          <w:pgSz w:w="11910" w:h="16840"/>
          <w:pgMar w:top="1740" w:right="600" w:bottom="840" w:left="620" w:header="720" w:footer="720" w:gutter="0"/>
          <w:cols w:space="720"/>
        </w:sectPr>
      </w:pPr>
      <w:r>
        <w:rPr>
          <w:rFonts w:ascii="Arial"/>
          <w:sz w:val="14"/>
        </w:rPr>
        <w:t xml:space="preserve">Email: </w:t>
      </w:r>
      <w:bookmarkStart w:id="3" w:name="_GoBack"/>
      <w:bookmarkEnd w:id="3"/>
      <w:r w:rsidR="00C812F2" w:rsidRPr="00C812F2">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D910C1">
        <w:rPr>
          <w:rFonts w:ascii="Arial"/>
          <w:sz w:val="14"/>
        </w:rPr>
        <w:t>ranjan.pati@sse.pdpu.ac.in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6FD1" w:rsidRDefault="00C96FD1">
      <w:r>
        <w:separator/>
      </w:r>
    </w:p>
  </w:endnote>
  <w:endnote w:type="continuationSeparator" w:id="0">
    <w:p w:rsidR="00C96FD1" w:rsidRDefault="00C96F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2B" w:rsidRDefault="00C812F2">
    <w:pPr>
      <w:pStyle w:val="BodyText"/>
      <w:spacing w:line="14" w:lineRule="auto"/>
      <w:rPr>
        <w:sz w:val="20"/>
      </w:rPr>
    </w:pPr>
    <w:r w:rsidRPr="00C812F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8B212B" w:rsidRPr="005B3A56" w:rsidRDefault="008B212B">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B212B" w:rsidRPr="005B3A56" w:rsidRDefault="008B212B">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812F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8B212B" w:rsidRPr="005B3A56" w:rsidRDefault="008B212B">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B212B" w:rsidRPr="005B3A56" w:rsidRDefault="008B212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812F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8B212B" w:rsidRPr="005B3A56" w:rsidRDefault="008B212B">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8B212B" w:rsidRPr="005B3A56" w:rsidRDefault="008B212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6FD1" w:rsidRDefault="00C96FD1">
      <w:r>
        <w:separator/>
      </w:r>
    </w:p>
  </w:footnote>
  <w:footnote w:type="continuationSeparator" w:id="0">
    <w:p w:rsidR="00C96FD1" w:rsidRDefault="00C96F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12B" w:rsidRDefault="00C812F2">
    <w:pPr>
      <w:pStyle w:val="BodyText"/>
      <w:spacing w:line="14" w:lineRule="auto"/>
      <w:rPr>
        <w:sz w:val="20"/>
      </w:rPr>
    </w:pPr>
    <w:r w:rsidRPr="00C812F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8B212B" w:rsidRPr="005B3A56" w:rsidRDefault="008B212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C812F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8B212B" w:rsidRPr="005B3A56" w:rsidRDefault="008B212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B212B" w:rsidRPr="005B3A56" w:rsidRDefault="008B212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725B6"/>
    <w:rsid w:val="000E2911"/>
    <w:rsid w:val="001263DF"/>
    <w:rsid w:val="001E763C"/>
    <w:rsid w:val="00292ED9"/>
    <w:rsid w:val="00314AFB"/>
    <w:rsid w:val="003B76D9"/>
    <w:rsid w:val="00404E5B"/>
    <w:rsid w:val="00414F7B"/>
    <w:rsid w:val="00426D4A"/>
    <w:rsid w:val="004355DC"/>
    <w:rsid w:val="004749B4"/>
    <w:rsid w:val="00494130"/>
    <w:rsid w:val="004F3523"/>
    <w:rsid w:val="005973B9"/>
    <w:rsid w:val="005B3A56"/>
    <w:rsid w:val="006060CE"/>
    <w:rsid w:val="0063497F"/>
    <w:rsid w:val="007379FD"/>
    <w:rsid w:val="0078738A"/>
    <w:rsid w:val="007A0240"/>
    <w:rsid w:val="00873DF0"/>
    <w:rsid w:val="008756E6"/>
    <w:rsid w:val="008B212B"/>
    <w:rsid w:val="009B2D44"/>
    <w:rsid w:val="00A07E82"/>
    <w:rsid w:val="00A9710C"/>
    <w:rsid w:val="00AE3E37"/>
    <w:rsid w:val="00B21A57"/>
    <w:rsid w:val="00B37501"/>
    <w:rsid w:val="00C33602"/>
    <w:rsid w:val="00C812F2"/>
    <w:rsid w:val="00C96FD1"/>
    <w:rsid w:val="00CD6F55"/>
    <w:rsid w:val="00D62425"/>
    <w:rsid w:val="00D910C1"/>
    <w:rsid w:val="00DE3104"/>
    <w:rsid w:val="00E856ED"/>
    <w:rsid w:val="00F5156E"/>
    <w:rsid w:val="00F72EEA"/>
    <w:rsid w:val="00F8136A"/>
    <w:rsid w:val="00F84CAE"/>
    <w:rsid w:val="00FA51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ext">
    <w:name w:val="text"/>
    <w:basedOn w:val="DefaultParagraphFont"/>
    <w:rsid w:val="007A0240"/>
  </w:style>
  <w:style w:type="character" w:styleId="Emphasis">
    <w:name w:val="Emphasis"/>
    <w:basedOn w:val="DefaultParagraphFont"/>
    <w:uiPriority w:val="20"/>
    <w:qFormat/>
    <w:rsid w:val="007A0240"/>
    <w:rPr>
      <w:i/>
      <w:iCs/>
    </w:rPr>
  </w:style>
  <w:style w:type="character" w:customStyle="1" w:styleId="name">
    <w:name w:val="name"/>
    <w:basedOn w:val="DefaultParagraphFont"/>
    <w:rsid w:val="00FA516E"/>
  </w:style>
  <w:style w:type="character" w:customStyle="1" w:styleId="xref-sep">
    <w:name w:val="xref-sep"/>
    <w:basedOn w:val="DefaultParagraphFont"/>
    <w:rsid w:val="00FA516E"/>
  </w:style>
  <w:style w:type="character" w:customStyle="1" w:styleId="slug-pub-date">
    <w:name w:val="slug-pub-date"/>
    <w:basedOn w:val="DefaultParagraphFont"/>
    <w:rsid w:val="00FA516E"/>
  </w:style>
  <w:style w:type="character" w:customStyle="1" w:styleId="slug-vol">
    <w:name w:val="slug-vol"/>
    <w:basedOn w:val="DefaultParagraphFont"/>
    <w:rsid w:val="00FA516E"/>
  </w:style>
  <w:style w:type="character" w:customStyle="1" w:styleId="slug-issue">
    <w:name w:val="slug-issue"/>
    <w:basedOn w:val="DefaultParagraphFont"/>
    <w:rsid w:val="00FA516E"/>
  </w:style>
  <w:style w:type="character" w:customStyle="1" w:styleId="slug-pages">
    <w:name w:val="slug-pages"/>
    <w:basedOn w:val="DefaultParagraphFont"/>
    <w:rsid w:val="00FA516E"/>
  </w:style>
  <w:style w:type="character" w:customStyle="1" w:styleId="cit-title">
    <w:name w:val="cit-title"/>
    <w:basedOn w:val="DefaultParagraphFont"/>
    <w:rsid w:val="00FA516E"/>
  </w:style>
  <w:style w:type="character" w:customStyle="1" w:styleId="cit-year-info">
    <w:name w:val="cit-year-info"/>
    <w:basedOn w:val="DefaultParagraphFont"/>
    <w:rsid w:val="00FA516E"/>
  </w:style>
  <w:style w:type="character" w:customStyle="1" w:styleId="cit-volume">
    <w:name w:val="cit-volume"/>
    <w:basedOn w:val="DefaultParagraphFont"/>
    <w:rsid w:val="00FA516E"/>
  </w:style>
  <w:style w:type="character" w:customStyle="1" w:styleId="cit-issue">
    <w:name w:val="cit-issue"/>
    <w:basedOn w:val="DefaultParagraphFont"/>
    <w:rsid w:val="00FA516E"/>
  </w:style>
  <w:style w:type="character" w:customStyle="1" w:styleId="cit-pagerange">
    <w:name w:val="cit-pagerange"/>
    <w:basedOn w:val="DefaultParagraphFont"/>
    <w:rsid w:val="00FA51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ciencedirect.com/science/article/abs/pii/S0926860X00006505" TargetMode="External"/><Relationship Id="rId18" Type="http://schemas.openxmlformats.org/officeDocument/2006/relationships/hyperlink" Target="javascrip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jes.ecsdl.org/search?author1=Yaohui+Bai&amp;sortspec=date&amp;submit=Submit" TargetMode="External"/><Relationship Id="rId7" Type="http://schemas.openxmlformats.org/officeDocument/2006/relationships/header" Target="header1.xml"/><Relationship Id="rId12" Type="http://schemas.openxmlformats.org/officeDocument/2006/relationships/hyperlink" Target="https://www.sciencedirect.com/science/article/abs/pii/S0926860X00006505" TargetMode="External"/><Relationship Id="rId17" Type="http://schemas.openxmlformats.org/officeDocument/2006/relationships/hyperlink" Target="javascrip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hyperlink" Target="javascrip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s://www.sciencedirect.com/science/journal/0926860X/200/1" TargetMode="External"/><Relationship Id="rId23" Type="http://schemas.openxmlformats.org/officeDocument/2006/relationships/hyperlink" Target="https://pubs.acs.org/action/doSearch?field1=Contrib&amp;text1=Xiaoyong++Xu" TargetMode="External"/><Relationship Id="rId28" Type="http://schemas.microsoft.com/office/2007/relationships/stylesWithEffects" Target="stylesWithEffects.xml"/><Relationship Id="rId10" Type="http://schemas.openxmlformats.org/officeDocument/2006/relationships/image" Target="media/image2.jpeg"/><Relationship Id="rId19"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sciencedirect.com/science/journal/0926860X" TargetMode="External"/><Relationship Id="rId22" Type="http://schemas.openxmlformats.org/officeDocument/2006/relationships/hyperlink" Target="http://jes.ecsdl.org/search?author1=Ting+He&amp;sortspec=date&amp;submit=Submit"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ranjan.pati</cp:lastModifiedBy>
  <cp:revision>3</cp:revision>
  <dcterms:created xsi:type="dcterms:W3CDTF">2019-11-22T13:27:00Z</dcterms:created>
  <dcterms:modified xsi:type="dcterms:W3CDTF">2019-11-25T05:40:00Z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