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435590" w:rsidP="00494130">
      <w:pPr>
        <w:pStyle w:val="Heading1"/>
        <w:spacing w:before="170"/>
        <w:ind w:left="0"/>
      </w:pPr>
      <w:r w:rsidRPr="00435590">
        <w:rPr>
          <w:color w:val="337AB7"/>
        </w:rPr>
        <w:t>Functionalized Covalent Organic Frameworks (COFs) for Photocatalytic Hydrogen Generation</w:t>
      </w:r>
    </w:p>
    <w:p w:rsidR="0078738A" w:rsidRDefault="00435590" w:rsidP="00435590">
      <w:pPr>
        <w:pStyle w:val="BodyText"/>
        <w:spacing w:before="73" w:line="198" w:lineRule="exact"/>
        <w:ind w:left="100" w:right="160"/>
        <w:rPr>
          <w:rFonts w:ascii="Arial"/>
        </w:rPr>
      </w:pPr>
      <w:r w:rsidRPr="00671DF1">
        <w:rPr>
          <w:rFonts w:ascii="Arial"/>
          <w:u w:val="single"/>
        </w:rPr>
        <w:t>Dr. Pradip Pachfule</w:t>
      </w:r>
      <w:r w:rsidR="005973B9">
        <w:rPr>
          <w:rFonts w:ascii="Arial"/>
        </w:rPr>
        <w:t xml:space="preserve">, PhD, </w:t>
      </w:r>
      <w:r w:rsidRPr="00435590">
        <w:rPr>
          <w:rFonts w:ascii="Arial"/>
        </w:rPr>
        <w:t>Department of Chemistry / Functional Materials</w:t>
      </w:r>
      <w:r>
        <w:rPr>
          <w:rFonts w:ascii="Arial"/>
        </w:rPr>
        <w:t xml:space="preserve">, </w:t>
      </w:r>
      <w:r w:rsidRPr="00435590">
        <w:rPr>
          <w:rFonts w:ascii="Arial"/>
        </w:rPr>
        <w:t>Technical University Berlin,</w:t>
      </w:r>
      <w:r>
        <w:rPr>
          <w:rFonts w:ascii="Arial"/>
        </w:rPr>
        <w:t xml:space="preserve"> Germany.</w:t>
      </w:r>
    </w:p>
    <w:p w:rsidR="00435590" w:rsidRDefault="00435590" w:rsidP="00435590">
      <w:pPr>
        <w:pStyle w:val="BodyText"/>
        <w:spacing w:before="73" w:line="198" w:lineRule="exact"/>
        <w:ind w:left="100" w:right="160"/>
        <w:rPr>
          <w:rFonts w:ascii="Arial"/>
        </w:rPr>
      </w:pPr>
      <w:r>
        <w:rPr>
          <w:rFonts w:ascii="Arial"/>
        </w:rPr>
        <w:t xml:space="preserve">Prof. </w:t>
      </w:r>
      <w:r w:rsidRPr="00435590">
        <w:rPr>
          <w:rFonts w:ascii="Arial"/>
        </w:rPr>
        <w:t>Arne Thomas</w:t>
      </w:r>
      <w:r>
        <w:rPr>
          <w:rFonts w:ascii="Arial"/>
        </w:rPr>
        <w:t xml:space="preserve">, PhD, </w:t>
      </w:r>
      <w:r w:rsidRPr="00435590">
        <w:rPr>
          <w:rFonts w:ascii="Arial"/>
        </w:rPr>
        <w:t>Department of Chemistry / Functional Materials</w:t>
      </w:r>
      <w:r>
        <w:rPr>
          <w:rFonts w:ascii="Arial"/>
        </w:rPr>
        <w:t xml:space="preserve">, </w:t>
      </w:r>
      <w:r w:rsidRPr="00435590">
        <w:rPr>
          <w:rFonts w:ascii="Arial"/>
        </w:rPr>
        <w:t>Technical University Berlin,</w:t>
      </w:r>
      <w:r>
        <w:rPr>
          <w:rFonts w:ascii="Arial"/>
        </w:rPr>
        <w:t xml:space="preserve"> Germany.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AE3E37" w:rsidRDefault="00435590">
      <w:pPr>
        <w:pStyle w:val="BodyText"/>
        <w:spacing w:before="90" w:line="280" w:lineRule="auto"/>
        <w:ind w:left="100"/>
        <w:jc w:val="both"/>
      </w:pPr>
      <w:r w:rsidRPr="00435590">
        <w:t xml:space="preserve">Covalent organic frameworks (COFs) are crystalline, highly porous, two- or three-dimensional polymers with tunable topology and functionalities. COFs consisting of inbuilt </w:t>
      </w:r>
      <w:proofErr w:type="spellStart"/>
      <w:r w:rsidRPr="00435590">
        <w:t>micropores</w:t>
      </w:r>
      <w:proofErr w:type="spellEnd"/>
      <w:r w:rsidRPr="00435590">
        <w:t xml:space="preserve"> are getting considerable attention due to their tunable pore sizes, high surface areas, enhanced chemical stabilities and easier large-scale synthesis.</w:t>
      </w:r>
      <w:r w:rsidRPr="00435590">
        <w:rPr>
          <w:vertAlign w:val="superscript"/>
        </w:rPr>
        <w:t>1</w:t>
      </w:r>
      <w:r w:rsidRPr="00435590">
        <w:t xml:space="preserve"> Because of their higher chemical stabilities in comparison to their boron-linked counterparts, imine or </w:t>
      </w:r>
      <w:r w:rsidRPr="00435590">
        <w:rPr>
          <w:rFonts w:ascii="Calibri" w:hAnsi="Calibri" w:cs="Calibri"/>
          <w:i/>
        </w:rPr>
        <w:t>β</w:t>
      </w:r>
      <w:r w:rsidRPr="00435590">
        <w:t>-</w:t>
      </w:r>
      <w:proofErr w:type="spellStart"/>
      <w:r w:rsidRPr="00435590">
        <w:t>ketoenamine</w:t>
      </w:r>
      <w:proofErr w:type="spellEnd"/>
      <w:r w:rsidRPr="00435590">
        <w:t xml:space="preserve"> linked COFs have been utilized for a broad range of applications, including gas storage, heterogeneous catalysis, energy storage devices and proton-conductive membranes.</w:t>
      </w:r>
      <w:r w:rsidRPr="00435590">
        <w:rPr>
          <w:vertAlign w:val="superscript"/>
        </w:rPr>
        <w:t>2-4</w:t>
      </w:r>
      <w:r w:rsidRPr="00435590">
        <w:t xml:space="preserve"> Herein, we report the synthesis of highly porous acetylene (-C</w:t>
      </w:r>
      <w:r>
        <w:sym w:font="Symbol" w:char="F0BA"/>
      </w:r>
      <w:proofErr w:type="spellStart"/>
      <w:r w:rsidRPr="00435590">
        <w:t>C</w:t>
      </w:r>
      <w:proofErr w:type="spellEnd"/>
      <w:r w:rsidRPr="00435590">
        <w:t>-, TP-EDDA) and diacetylene (-C</w:t>
      </w:r>
      <w:r>
        <w:sym w:font="Symbol" w:char="F0BA"/>
      </w:r>
      <w:r w:rsidRPr="00435590">
        <w:t>C-C</w:t>
      </w:r>
      <w:r>
        <w:sym w:font="Symbol" w:char="F0BA"/>
      </w:r>
      <w:r w:rsidRPr="00435590">
        <w:t xml:space="preserve">C-, TP-BDDA) functionalized </w:t>
      </w:r>
      <w:r w:rsidRPr="00435590">
        <w:rPr>
          <w:rFonts w:ascii="Calibri" w:hAnsi="Calibri" w:cs="Calibri"/>
          <w:i/>
        </w:rPr>
        <w:t>β</w:t>
      </w:r>
      <w:r w:rsidRPr="00435590">
        <w:t>-</w:t>
      </w:r>
      <w:proofErr w:type="spellStart"/>
      <w:r w:rsidRPr="00435590">
        <w:t>ketoenamine</w:t>
      </w:r>
      <w:proofErr w:type="spellEnd"/>
      <w:r w:rsidRPr="00435590">
        <w:t xml:space="preserve"> COFs, which are synthesized through the condensation of aryl amines and aldehydes under acid-catalyzed solvothermal conditions. These novel COFs </w:t>
      </w:r>
      <w:proofErr w:type="gramStart"/>
      <w:r w:rsidRPr="00435590">
        <w:t>have been applied</w:t>
      </w:r>
      <w:proofErr w:type="gramEnd"/>
      <w:r w:rsidRPr="00435590">
        <w:t xml:space="preserve"> as photocatalyst for hydrogen generation from water. It </w:t>
      </w:r>
      <w:proofErr w:type="gramStart"/>
      <w:r w:rsidRPr="00435590">
        <w:t>is shown</w:t>
      </w:r>
      <w:proofErr w:type="gramEnd"/>
      <w:r w:rsidRPr="00435590">
        <w:t xml:space="preserve"> that the diacetylene moieties have a profound effect, as the diacetylene-based TP-BDDA largely outperforms the acetylene-based TP-EDDA in terms of photocatalytic activity. As a combined effect of high porosity, easily accessible diacetylene (-C</w:t>
      </w:r>
      <w:r w:rsidR="00671DF1">
        <w:sym w:font="Symbol" w:char="F0BA"/>
      </w:r>
      <w:r w:rsidRPr="00435590">
        <w:t>C-C</w:t>
      </w:r>
      <w:r w:rsidR="00671DF1">
        <w:sym w:font="Symbol" w:char="F0BA"/>
      </w:r>
      <w:r w:rsidRPr="00435590">
        <w:t>C-) functionalities and considerable chemical stability, an efficient and recyclable heterogeneous photocatalytic hydrogen generation is achieved for TP-BDDA COF holding the diacetylene (-C</w:t>
      </w:r>
      <w:r w:rsidR="00671DF1">
        <w:sym w:font="Symbol" w:char="F0BA"/>
      </w:r>
      <w:r w:rsidRPr="00435590">
        <w:t>C-C</w:t>
      </w:r>
      <w:r w:rsidR="00671DF1">
        <w:sym w:font="Symbol" w:char="F0BA"/>
      </w:r>
      <w:r w:rsidRPr="00435590">
        <w:t>C-) moieties.</w:t>
      </w:r>
      <w:r w:rsidRPr="00435590">
        <w:rPr>
          <w:vertAlign w:val="superscript"/>
        </w:rPr>
        <w:t>5</w:t>
      </w:r>
      <w:r w:rsidRPr="00435590">
        <w:t xml:space="preserve"> Recently, we have extended our library of </w:t>
      </w:r>
      <w:proofErr w:type="spellStart"/>
      <w:r w:rsidRPr="00435590">
        <w:t>photocatalytically</w:t>
      </w:r>
      <w:proofErr w:type="spellEnd"/>
      <w:r w:rsidRPr="00435590">
        <w:t xml:space="preserve"> active materials to the </w:t>
      </w:r>
      <w:proofErr w:type="spellStart"/>
      <w:r w:rsidRPr="00435590">
        <w:t>triazine</w:t>
      </w:r>
      <w:proofErr w:type="spellEnd"/>
      <w:r w:rsidRPr="00435590">
        <w:t>-based fully conjugated COFs for their applications in highly active and recyclable photocatalysis.</w:t>
      </w:r>
      <w:r w:rsidRPr="00435590">
        <w:rPr>
          <w:vertAlign w:val="superscript"/>
        </w:rPr>
        <w:t>6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</w:p>
    <w:p w:rsidR="00435590" w:rsidRDefault="00435590" w:rsidP="00435590">
      <w:pPr>
        <w:pStyle w:val="Heading3"/>
        <w:spacing w:before="74"/>
        <w:jc w:val="center"/>
      </w:pPr>
      <w:r>
        <w:rPr>
          <w:noProof/>
        </w:rPr>
        <w:drawing>
          <wp:inline distT="0" distB="0" distL="0" distR="0">
            <wp:extent cx="3116580" cy="1558290"/>
            <wp:effectExtent l="0" t="0" r="7620" b="3810"/>
            <wp:docPr id="4" name="Picture 4" descr="TOC_Figure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OC_Figure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590" w:rsidRPr="00671DF1" w:rsidRDefault="00435590" w:rsidP="00435590">
      <w:pPr>
        <w:pStyle w:val="Heading3"/>
        <w:spacing w:before="74"/>
        <w:jc w:val="both"/>
        <w:rPr>
          <w:rFonts w:asciiTheme="minorHAnsi" w:hAnsiTheme="minorHAnsi"/>
          <w:b w:val="0"/>
          <w:sz w:val="18"/>
          <w:szCs w:val="18"/>
        </w:rPr>
      </w:pPr>
      <w:r w:rsidRPr="00671DF1">
        <w:rPr>
          <w:rFonts w:asciiTheme="minorHAnsi" w:hAnsiTheme="minorHAnsi"/>
          <w:sz w:val="18"/>
          <w:szCs w:val="18"/>
        </w:rPr>
        <w:t xml:space="preserve">Figure 1: </w:t>
      </w:r>
      <w:r w:rsidRPr="00671DF1">
        <w:rPr>
          <w:rFonts w:asciiTheme="minorHAnsi" w:hAnsiTheme="minorHAnsi"/>
          <w:b w:val="0"/>
          <w:sz w:val="18"/>
          <w:szCs w:val="18"/>
        </w:rPr>
        <w:t>Acetylene- and diacetylene-based TP-EDDA and TP-BDDA COFs for photocatalytic hydrogen generation.</w:t>
      </w:r>
    </w:p>
    <w:p w:rsidR="00AE3E37" w:rsidRDefault="00AE3E37" w:rsidP="00435590">
      <w:pPr>
        <w:pStyle w:val="BodyText"/>
        <w:spacing w:before="2"/>
        <w:jc w:val="right"/>
        <w:rPr>
          <w:rFonts w:ascii="Arial"/>
          <w:b/>
          <w:sz w:val="16"/>
        </w:rPr>
      </w:pPr>
    </w:p>
    <w:p w:rsidR="005973B9" w:rsidRDefault="00435590" w:rsidP="00435590">
      <w:pPr>
        <w:spacing w:after="120" w:line="204" w:lineRule="exact"/>
        <w:ind w:firstLine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435590" w:rsidRDefault="00435590" w:rsidP="00435590">
      <w:pPr>
        <w:pStyle w:val="BodyText"/>
        <w:numPr>
          <w:ilvl w:val="0"/>
          <w:numId w:val="4"/>
        </w:numPr>
        <w:spacing w:line="218" w:lineRule="exact"/>
        <w:rPr>
          <w:rFonts w:ascii="Calibri" w:eastAsia="Calibri" w:hAnsi="Calibri" w:cs="Calibri"/>
          <w:szCs w:val="22"/>
        </w:rPr>
      </w:pPr>
      <w:r w:rsidRPr="00435590">
        <w:rPr>
          <w:rFonts w:ascii="Calibri" w:eastAsia="Calibri" w:hAnsi="Calibri" w:cs="Calibri"/>
          <w:szCs w:val="22"/>
        </w:rPr>
        <w:t xml:space="preserve">J. W. Colson and W. R. </w:t>
      </w:r>
      <w:proofErr w:type="spellStart"/>
      <w:r w:rsidRPr="00435590">
        <w:rPr>
          <w:rFonts w:ascii="Calibri" w:eastAsia="Calibri" w:hAnsi="Calibri" w:cs="Calibri"/>
          <w:szCs w:val="22"/>
        </w:rPr>
        <w:t>Dichtel</w:t>
      </w:r>
      <w:proofErr w:type="spellEnd"/>
      <w:r w:rsidRPr="00435590">
        <w:rPr>
          <w:rFonts w:ascii="Calibri" w:eastAsia="Calibri" w:hAnsi="Calibri" w:cs="Calibri"/>
          <w:szCs w:val="22"/>
        </w:rPr>
        <w:t xml:space="preserve">, Nat. Chem., 2013, 5, 453–465. </w:t>
      </w:r>
    </w:p>
    <w:p w:rsidR="00435590" w:rsidRDefault="00435590" w:rsidP="00435590">
      <w:pPr>
        <w:pStyle w:val="BodyText"/>
        <w:numPr>
          <w:ilvl w:val="0"/>
          <w:numId w:val="4"/>
        </w:numPr>
        <w:spacing w:line="218" w:lineRule="exact"/>
        <w:rPr>
          <w:rFonts w:ascii="Calibri" w:eastAsia="Calibri" w:hAnsi="Calibri" w:cs="Calibri"/>
          <w:szCs w:val="22"/>
        </w:rPr>
      </w:pPr>
      <w:r w:rsidRPr="00435590">
        <w:rPr>
          <w:rFonts w:ascii="Calibri" w:eastAsia="Calibri" w:hAnsi="Calibri" w:cs="Calibri"/>
          <w:szCs w:val="22"/>
        </w:rPr>
        <w:t xml:space="preserve">X. Feng, X. Ding and D. Jiang, Chem. Soc. Rev., 2012, 41, 6010–6022. </w:t>
      </w:r>
    </w:p>
    <w:p w:rsidR="00435590" w:rsidRDefault="00435590" w:rsidP="00435590">
      <w:pPr>
        <w:pStyle w:val="BodyText"/>
        <w:numPr>
          <w:ilvl w:val="0"/>
          <w:numId w:val="4"/>
        </w:numPr>
        <w:spacing w:line="218" w:lineRule="exact"/>
        <w:rPr>
          <w:rFonts w:ascii="Calibri" w:eastAsia="Calibri" w:hAnsi="Calibri" w:cs="Calibri"/>
          <w:szCs w:val="22"/>
        </w:rPr>
      </w:pPr>
      <w:r w:rsidRPr="00435590">
        <w:rPr>
          <w:rFonts w:ascii="Calibri" w:eastAsia="Calibri" w:hAnsi="Calibri" w:cs="Calibri"/>
          <w:szCs w:val="22"/>
        </w:rPr>
        <w:t xml:space="preserve">J. Roeser, K. </w:t>
      </w:r>
      <w:proofErr w:type="spellStart"/>
      <w:r w:rsidRPr="00435590">
        <w:rPr>
          <w:rFonts w:ascii="Calibri" w:eastAsia="Calibri" w:hAnsi="Calibri" w:cs="Calibri"/>
          <w:szCs w:val="22"/>
        </w:rPr>
        <w:t>Kailasam</w:t>
      </w:r>
      <w:proofErr w:type="spellEnd"/>
      <w:r w:rsidRPr="00435590">
        <w:rPr>
          <w:rFonts w:ascii="Calibri" w:eastAsia="Calibri" w:hAnsi="Calibri" w:cs="Calibri"/>
          <w:szCs w:val="22"/>
        </w:rPr>
        <w:t xml:space="preserve"> and A. Thomas, </w:t>
      </w:r>
      <w:proofErr w:type="spellStart"/>
      <w:r w:rsidRPr="00435590">
        <w:rPr>
          <w:rFonts w:ascii="Calibri" w:eastAsia="Calibri" w:hAnsi="Calibri" w:cs="Calibri"/>
          <w:szCs w:val="22"/>
        </w:rPr>
        <w:t>ChemSusChem</w:t>
      </w:r>
      <w:proofErr w:type="spellEnd"/>
      <w:r w:rsidRPr="00435590">
        <w:rPr>
          <w:rFonts w:ascii="Calibri" w:eastAsia="Calibri" w:hAnsi="Calibri" w:cs="Calibri"/>
          <w:szCs w:val="22"/>
        </w:rPr>
        <w:t>, 2012, 5, 1793</w:t>
      </w:r>
      <w:r w:rsidR="00671DF1">
        <w:rPr>
          <w:rFonts w:ascii="Calibri" w:eastAsia="Calibri" w:hAnsi="Calibri" w:cs="Calibri"/>
          <w:szCs w:val="22"/>
        </w:rPr>
        <w:t>-</w:t>
      </w:r>
      <w:r w:rsidRPr="00435590">
        <w:rPr>
          <w:rFonts w:ascii="Calibri" w:eastAsia="Calibri" w:hAnsi="Calibri" w:cs="Calibri"/>
          <w:szCs w:val="22"/>
        </w:rPr>
        <w:t xml:space="preserve">1799. </w:t>
      </w:r>
    </w:p>
    <w:p w:rsidR="00435590" w:rsidRDefault="00435590" w:rsidP="00435590">
      <w:pPr>
        <w:pStyle w:val="BodyText"/>
        <w:numPr>
          <w:ilvl w:val="0"/>
          <w:numId w:val="4"/>
        </w:numPr>
        <w:spacing w:line="218" w:lineRule="exact"/>
        <w:rPr>
          <w:rFonts w:ascii="Calibri" w:eastAsia="Calibri" w:hAnsi="Calibri" w:cs="Calibri"/>
          <w:szCs w:val="22"/>
        </w:rPr>
      </w:pPr>
      <w:r w:rsidRPr="00435590">
        <w:rPr>
          <w:rFonts w:ascii="Calibri" w:eastAsia="Calibri" w:hAnsi="Calibri" w:cs="Calibri"/>
          <w:szCs w:val="22"/>
        </w:rPr>
        <w:t xml:space="preserve">P. Pachfule, S. </w:t>
      </w:r>
      <w:proofErr w:type="spellStart"/>
      <w:r w:rsidRPr="00435590">
        <w:rPr>
          <w:rFonts w:ascii="Calibri" w:eastAsia="Calibri" w:hAnsi="Calibri" w:cs="Calibri"/>
          <w:szCs w:val="22"/>
        </w:rPr>
        <w:t>Kandambeth</w:t>
      </w:r>
      <w:proofErr w:type="spellEnd"/>
      <w:r w:rsidRPr="00435590">
        <w:rPr>
          <w:rFonts w:ascii="Calibri" w:eastAsia="Calibri" w:hAnsi="Calibri" w:cs="Calibri"/>
          <w:szCs w:val="22"/>
        </w:rPr>
        <w:t xml:space="preserve">, D. D. Diaz and R. Banerjee, Chem. </w:t>
      </w:r>
      <w:proofErr w:type="spellStart"/>
      <w:r w:rsidRPr="00435590">
        <w:rPr>
          <w:rFonts w:ascii="Calibri" w:eastAsia="Calibri" w:hAnsi="Calibri" w:cs="Calibri"/>
          <w:szCs w:val="22"/>
        </w:rPr>
        <w:t>Commun</w:t>
      </w:r>
      <w:proofErr w:type="spellEnd"/>
      <w:r w:rsidRPr="00435590">
        <w:rPr>
          <w:rFonts w:ascii="Calibri" w:eastAsia="Calibri" w:hAnsi="Calibri" w:cs="Calibri"/>
          <w:szCs w:val="22"/>
        </w:rPr>
        <w:t xml:space="preserve">., 2014, 50, 3169-3172. </w:t>
      </w:r>
    </w:p>
    <w:p w:rsidR="00435590" w:rsidRDefault="00435590" w:rsidP="00435590">
      <w:pPr>
        <w:pStyle w:val="BodyText"/>
        <w:numPr>
          <w:ilvl w:val="0"/>
          <w:numId w:val="4"/>
        </w:numPr>
        <w:spacing w:line="218" w:lineRule="exact"/>
        <w:rPr>
          <w:rFonts w:ascii="Calibri" w:eastAsia="Calibri" w:hAnsi="Calibri" w:cs="Calibri"/>
          <w:szCs w:val="22"/>
        </w:rPr>
      </w:pPr>
      <w:r w:rsidRPr="00435590">
        <w:rPr>
          <w:rFonts w:ascii="Calibri" w:eastAsia="Calibri" w:hAnsi="Calibri" w:cs="Calibri"/>
          <w:szCs w:val="22"/>
        </w:rPr>
        <w:t xml:space="preserve">P. Pachfule, A. Acharjya, J. Roeser, T. Langenhahn, M. Schwarze, R. Schomäcker, A. Thomas and J. Schmidt, J. Am. Chem. Soc., 2018, 140, 1423-1427. </w:t>
      </w:r>
    </w:p>
    <w:p w:rsidR="005973B9" w:rsidRPr="00435590" w:rsidRDefault="00435590" w:rsidP="00435590">
      <w:pPr>
        <w:pStyle w:val="BodyText"/>
        <w:numPr>
          <w:ilvl w:val="0"/>
          <w:numId w:val="4"/>
        </w:numPr>
        <w:spacing w:line="218" w:lineRule="exact"/>
        <w:rPr>
          <w:rFonts w:ascii="Calibri" w:eastAsia="Calibri" w:hAnsi="Calibri" w:cs="Calibri"/>
          <w:szCs w:val="22"/>
        </w:rPr>
      </w:pPr>
      <w:r w:rsidRPr="00435590">
        <w:rPr>
          <w:rFonts w:ascii="Calibri" w:eastAsia="Calibri" w:hAnsi="Calibri" w:cs="Calibri"/>
          <w:szCs w:val="22"/>
        </w:rPr>
        <w:t xml:space="preserve"> </w:t>
      </w:r>
      <w:r>
        <w:rPr>
          <w:rFonts w:ascii="Calibri" w:eastAsia="Calibri" w:hAnsi="Calibri" w:cs="Calibri"/>
          <w:szCs w:val="22"/>
        </w:rPr>
        <w:t>A.</w:t>
      </w:r>
      <w:r w:rsidRPr="00435590">
        <w:rPr>
          <w:rFonts w:ascii="Calibri" w:eastAsia="Calibri" w:hAnsi="Calibri" w:cs="Calibri"/>
          <w:szCs w:val="22"/>
        </w:rPr>
        <w:t xml:space="preserve"> Acharjya, P. Pachfule, J. Roeser and A. Thomas, Manuscript submitted.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    </w:t>
      </w:r>
    </w:p>
    <w:p w:rsidR="00C614A9" w:rsidRDefault="00C614A9">
      <w:pPr>
        <w:pStyle w:val="BodyText"/>
        <w:rPr>
          <w:rFonts w:ascii="Calibri"/>
          <w:sz w:val="20"/>
        </w:rPr>
      </w:pPr>
    </w:p>
    <w:p w:rsidR="00C614A9" w:rsidRPr="00D62425" w:rsidRDefault="00C614A9">
      <w:pPr>
        <w:pStyle w:val="BodyText"/>
        <w:rPr>
          <w:rFonts w:ascii="Calibri"/>
          <w:b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B0998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671DF1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671DF1" w:rsidRPr="00671DF1">
        <w:rPr>
          <w:noProof/>
        </w:rPr>
        <w:drawing>
          <wp:inline distT="0" distB="0" distL="0" distR="0">
            <wp:extent cx="713232" cy="740664"/>
            <wp:effectExtent l="0" t="0" r="0" b="2540"/>
            <wp:docPr id="6" name="Picture 6" descr="\\afs\tu-berlin.de\units\Fak_II\funktionsmaterialien\volume\users\pradip.pachfule\Desktop\Important Images\Pradip_Photo-AvH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afs\tu-berlin.de\units\Fak_II\funktionsmaterialien\volume\users\pradip.pachfule\Desktop\Important Images\Pradip_Photo-AvH-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" cy="74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671DF1">
      <w:pPr>
        <w:spacing w:before="92"/>
        <w:ind w:right="4234" w:firstLine="213"/>
        <w:rPr>
          <w:rFonts w:ascii="Arial"/>
        </w:rPr>
      </w:pPr>
      <w:r>
        <w:rPr>
          <w:rFonts w:ascii="Arial"/>
          <w:color w:val="BF5A14"/>
        </w:rPr>
        <w:t>Biography</w:t>
      </w:r>
      <w:r w:rsidR="00C614A9">
        <w:rPr>
          <w:rFonts w:ascii="Arial"/>
          <w:color w:val="BF5A14"/>
        </w:rPr>
        <w:t xml:space="preserve">: </w:t>
      </w:r>
      <w:r w:rsidR="00C614A9" w:rsidRPr="00C614A9">
        <w:rPr>
          <w:rFonts w:ascii="Arial"/>
          <w:color w:val="BF5A14"/>
        </w:rPr>
        <w:t>Pradip Pachfule</w:t>
      </w:r>
    </w:p>
    <w:p w:rsidR="00AE3E37" w:rsidRDefault="00671DF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71DF1">
        <w:rPr>
          <w:rFonts w:ascii="Arial"/>
          <w:sz w:val="14"/>
        </w:rPr>
        <w:t>Pradip finished his Ph.D. at the National Chemical Laboratory, Pune (India) under the guidance of Prof. Dr. Rahul Banerjee, where he worked on synthesis of functionalized and interpenetrated MOFs, H</w:t>
      </w:r>
      <w:r w:rsidRPr="00671DF1">
        <w:rPr>
          <w:rFonts w:ascii="Arial"/>
          <w:sz w:val="14"/>
          <w:vertAlign w:val="subscript"/>
        </w:rPr>
        <w:t>2</w:t>
      </w:r>
      <w:r w:rsidRPr="00671DF1">
        <w:rPr>
          <w:rFonts w:ascii="Arial"/>
          <w:sz w:val="14"/>
        </w:rPr>
        <w:t xml:space="preserve"> storage and CO</w:t>
      </w:r>
      <w:r w:rsidRPr="00671DF1">
        <w:rPr>
          <w:rFonts w:ascii="Arial"/>
          <w:sz w:val="14"/>
          <w:vertAlign w:val="subscript"/>
        </w:rPr>
        <w:t>2</w:t>
      </w:r>
      <w:r w:rsidRPr="00671DF1">
        <w:rPr>
          <w:rFonts w:ascii="Arial"/>
          <w:sz w:val="14"/>
        </w:rPr>
        <w:t xml:space="preserve"> sequestration. Further, he worked as a JSPS postdoctoral fellow in the lab of Prof. </w:t>
      </w:r>
      <w:proofErr w:type="spellStart"/>
      <w:r w:rsidRPr="00671DF1">
        <w:rPr>
          <w:rFonts w:ascii="Arial"/>
          <w:sz w:val="14"/>
        </w:rPr>
        <w:t>Qiang</w:t>
      </w:r>
      <w:proofErr w:type="spellEnd"/>
      <w:r w:rsidRPr="00671DF1">
        <w:rPr>
          <w:rFonts w:ascii="Arial"/>
          <w:sz w:val="14"/>
        </w:rPr>
        <w:t xml:space="preserve"> Xu in National Institute of Advanced Industr</w:t>
      </w:r>
      <w:bookmarkStart w:id="0" w:name="_GoBack"/>
      <w:bookmarkEnd w:id="0"/>
      <w:r w:rsidRPr="00671DF1">
        <w:rPr>
          <w:rFonts w:ascii="Arial"/>
          <w:sz w:val="14"/>
        </w:rPr>
        <w:t>ial Science and Technology (AIST), Ikeda, Osaka (Japan), where his research topic includes the synthesis of MOF-derived materials for catalysis and electrochemical energy applications. Currently, he is working in the department of functional materials at Technische Universit</w:t>
      </w:r>
      <w:r w:rsidRPr="00671DF1">
        <w:rPr>
          <w:rFonts w:ascii="Arial"/>
          <w:sz w:val="14"/>
        </w:rPr>
        <w:t>ä</w:t>
      </w:r>
      <w:r w:rsidRPr="00671DF1">
        <w:rPr>
          <w:rFonts w:ascii="Arial"/>
          <w:sz w:val="14"/>
        </w:rPr>
        <w:t>t Berlin as an Alexander von Humboldt fellow, under the supervision of Prof. Dr. Arne Thomas. He is interested in the synthesis and post-synthetic modification of covalent organic frameworks for catalytic applications.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 w:rsidRPr="00671DF1">
        <w:rPr>
          <w:rFonts w:ascii="Arial"/>
          <w:b/>
          <w:sz w:val="14"/>
        </w:rPr>
        <w:t xml:space="preserve">Email: </w:t>
      </w:r>
      <w:hyperlink r:id="rId11" w:history="1">
        <w:r w:rsidR="00671DF1" w:rsidRPr="008A4F47">
          <w:rPr>
            <w:rStyle w:val="Hyperlink"/>
            <w:rFonts w:ascii="Arial"/>
            <w:sz w:val="14"/>
          </w:rPr>
          <w:t>ps.pachfule@gmail.com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CEEE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590" w:rsidRDefault="00435590">
      <w:r>
        <w:separator/>
      </w:r>
    </w:p>
  </w:endnote>
  <w:endnote w:type="continuationSeparator" w:id="0">
    <w:p w:rsidR="00435590" w:rsidRDefault="00435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590" w:rsidRDefault="0043559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5590" w:rsidRPr="005B3A56" w:rsidRDefault="0043559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435590" w:rsidRPr="005B3A56" w:rsidRDefault="0043559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435590" w:rsidRPr="005B3A56" w:rsidRDefault="0043559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435590" w:rsidRPr="005B3A56" w:rsidRDefault="0043559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5590" w:rsidRPr="005B3A56" w:rsidRDefault="0043559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435590" w:rsidRPr="005B3A56" w:rsidRDefault="0043559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435590" w:rsidRPr="005B3A56" w:rsidRDefault="0043559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435590" w:rsidRPr="005B3A56" w:rsidRDefault="0043559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5590" w:rsidRPr="005B3A56" w:rsidRDefault="0043559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435590" w:rsidRPr="005B3A56" w:rsidRDefault="0043559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435590" w:rsidRPr="005B3A56" w:rsidRDefault="0043559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435590" w:rsidRPr="005B3A56" w:rsidRDefault="0043559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590" w:rsidRDefault="00435590">
      <w:r>
        <w:separator/>
      </w:r>
    </w:p>
  </w:footnote>
  <w:footnote w:type="continuationSeparator" w:id="0">
    <w:p w:rsidR="00435590" w:rsidRDefault="00435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590" w:rsidRDefault="0043559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5590" w:rsidRPr="005B3A56" w:rsidRDefault="0043559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435590" w:rsidRPr="005B3A56" w:rsidRDefault="0043559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5590" w:rsidRPr="005B3A56" w:rsidRDefault="0043559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435590" w:rsidRPr="005B3A56" w:rsidRDefault="0043559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435590" w:rsidRPr="005B3A56" w:rsidRDefault="00435590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435590" w:rsidRPr="005B3A56" w:rsidRDefault="0043559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97A4D"/>
    <w:multiLevelType w:val="hybridMultilevel"/>
    <w:tmpl w:val="8CE6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90"/>
    <w:rsid w:val="004355DC"/>
    <w:rsid w:val="004749B4"/>
    <w:rsid w:val="00494130"/>
    <w:rsid w:val="004F3523"/>
    <w:rsid w:val="005973B9"/>
    <w:rsid w:val="005B3A56"/>
    <w:rsid w:val="006060CE"/>
    <w:rsid w:val="0063497F"/>
    <w:rsid w:val="00671DF1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614A9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62F577"/>
  <w15:docId w15:val="{6E71FAB7-FFFE-4EF9-9CE5-1E6D584B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s.pachfule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3A47B20F.dotm</Template>
  <TotalTime>0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Pachfule, Pradip</cp:lastModifiedBy>
  <cp:revision>3</cp:revision>
  <dcterms:created xsi:type="dcterms:W3CDTF">2019-02-05T11:42:00Z</dcterms:created>
  <dcterms:modified xsi:type="dcterms:W3CDTF">2019-02-05T11:43:00Z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