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C372B" w:rsidP="00494130">
      <w:pPr>
        <w:pStyle w:val="Heading1"/>
        <w:spacing w:before="170"/>
        <w:ind w:left="0"/>
      </w:pPr>
      <w:r w:rsidRPr="001C372B">
        <w:rPr>
          <w:color w:val="337AB7"/>
        </w:rPr>
        <w:t>Ultrafast copper-mediated controlled copolymerization of acrylamides: Multifunctional Polymers</w:t>
      </w:r>
    </w:p>
    <w:p w:rsidR="00AE3E37" w:rsidRDefault="001C372B">
      <w:pPr>
        <w:pStyle w:val="BodyText"/>
        <w:rPr>
          <w:rFonts w:ascii="Arial"/>
        </w:rPr>
      </w:pPr>
      <w:r>
        <w:rPr>
          <w:rFonts w:ascii="Arial"/>
        </w:rPr>
        <w:t xml:space="preserve">Dr </w:t>
      </w:r>
      <w:r w:rsidRPr="001C372B">
        <w:rPr>
          <w:rFonts w:ascii="Arial"/>
        </w:rPr>
        <w:t>Fehaid M. Alsubaie</w:t>
      </w:r>
    </w:p>
    <w:p w:rsidR="001C372B" w:rsidRDefault="001C372B">
      <w:pPr>
        <w:pStyle w:val="BodyText"/>
        <w:rPr>
          <w:rFonts w:ascii="Arial"/>
          <w:sz w:val="20"/>
        </w:rPr>
      </w:pPr>
      <w:r w:rsidRPr="001C372B">
        <w:rPr>
          <w:rFonts w:ascii="Arial"/>
          <w:sz w:val="20"/>
        </w:rPr>
        <w:t>National Centre for Petrochemicals, Materials Science Institute, King Abdulaziz City for Science and Technology, KSA</w:t>
      </w:r>
    </w:p>
    <w:p w:rsidR="00AE3E37" w:rsidRDefault="00AE3E37">
      <w:pPr>
        <w:pStyle w:val="BodyText"/>
        <w:spacing w:before="3"/>
        <w:rPr>
          <w:rFonts w:ascii="Arial"/>
          <w:sz w:val="21"/>
        </w:rPr>
      </w:pPr>
    </w:p>
    <w:p w:rsidR="00AE3E37" w:rsidRDefault="00AE3E37">
      <w:pPr>
        <w:rPr>
          <w:rFonts w:ascii="Arial"/>
          <w:sz w:val="21"/>
        </w:rPr>
      </w:pPr>
    </w:p>
    <w:p w:rsidR="00E47F62" w:rsidRDefault="00E47F62">
      <w:pPr>
        <w:rPr>
          <w:rFonts w:ascii="Arial"/>
          <w:sz w:val="21"/>
        </w:rPr>
        <w:sectPr w:rsidR="00E47F62">
          <w:headerReference w:type="default" r:id="rId7"/>
          <w:footerReference w:type="default" r:id="rId8"/>
          <w:type w:val="continuous"/>
          <w:pgSz w:w="11910" w:h="16840"/>
          <w:pgMar w:top="1740" w:right="600" w:bottom="840" w:left="620" w:header="541" w:footer="642" w:gutter="0"/>
          <w:cols w:space="720"/>
        </w:sectPr>
      </w:pPr>
    </w:p>
    <w:p w:rsidR="00AE3E37" w:rsidRPr="00E47F62" w:rsidRDefault="001C372B" w:rsidP="00E47F62">
      <w:pPr>
        <w:pStyle w:val="Heading3"/>
        <w:spacing w:before="74"/>
        <w:ind w:right="111"/>
        <w:jc w:val="both"/>
        <w:rPr>
          <w:b w:val="0"/>
        </w:rPr>
      </w:pPr>
      <w:r w:rsidRPr="00E47F62">
        <w:rPr>
          <w:rFonts w:ascii="Tw Cen MT" w:eastAsia="Tw Cen MT" w:hAnsi="Tw Cen MT" w:cs="Tw Cen MT"/>
          <w:b w:val="0"/>
          <w:bCs w:val="0"/>
        </w:rPr>
        <w:t xml:space="preserve">The aqueous copper-mediated controlled copolymerization of a wide variety of acrylamide monomers </w:t>
      </w:r>
      <w:proofErr w:type="gramStart"/>
      <w:r w:rsidRPr="00E47F62">
        <w:rPr>
          <w:rFonts w:ascii="Tw Cen MT" w:eastAsia="Tw Cen MT" w:hAnsi="Tw Cen MT" w:cs="Tw Cen MT"/>
          <w:b w:val="0"/>
          <w:bCs w:val="0"/>
        </w:rPr>
        <w:t>is presented</w:t>
      </w:r>
      <w:proofErr w:type="gramEnd"/>
      <w:r w:rsidRPr="00E47F62">
        <w:rPr>
          <w:rFonts w:ascii="Tw Cen MT" w:eastAsia="Tw Cen MT" w:hAnsi="Tw Cen MT" w:cs="Tw Cen MT"/>
          <w:b w:val="0"/>
          <w:bCs w:val="0"/>
        </w:rPr>
        <w:t>. The homo and/or copolymerization of acrylamides proceed in a controlled manner as is evident from good first order kinetics, linear evolution of number average molecular weight (</w:t>
      </w:r>
      <w:proofErr w:type="spellStart"/>
      <w:r w:rsidRPr="00E47F62">
        <w:rPr>
          <w:rFonts w:ascii="Tw Cen MT" w:eastAsia="Tw Cen MT" w:hAnsi="Tw Cen MT" w:cs="Tw Cen MT"/>
          <w:b w:val="0"/>
          <w:bCs w:val="0"/>
        </w:rPr>
        <w:t>Mn</w:t>
      </w:r>
      <w:proofErr w:type="spellEnd"/>
      <w:r w:rsidRPr="00E47F62">
        <w:rPr>
          <w:rFonts w:ascii="Tw Cen MT" w:eastAsia="Tw Cen MT" w:hAnsi="Tw Cen MT" w:cs="Tw Cen MT"/>
          <w:b w:val="0"/>
          <w:bCs w:val="0"/>
        </w:rPr>
        <w:t xml:space="preserve">) with conversion and narrow molecular weight distributions (MWDs). Full disproportionation of Cu(I)Br in the presence of Me6TREN in water (Fig. 1) was exploited to generate reactive Cu(0) and [Cu(II)(Me6TREN)]Br2 in situ resulting in unprecedented rates of reaction whilst maintaining control over chain lengths and narrow dispersity (MWDs &lt; 1.10)1. High conversion (&gt;99%) can be attained in as low as minutes and a range of chain lengths (DP = 10-100) is targeted, exhibiting low dispersity values and good agreement between theoretical and experimental values. Remarkably, high chain end functionality </w:t>
      </w:r>
      <w:proofErr w:type="gramStart"/>
      <w:r w:rsidRPr="00E47F62">
        <w:rPr>
          <w:rFonts w:ascii="Tw Cen MT" w:eastAsia="Tw Cen MT" w:hAnsi="Tw Cen MT" w:cs="Tw Cen MT"/>
          <w:b w:val="0"/>
          <w:bCs w:val="0"/>
        </w:rPr>
        <w:t>is maintained</w:t>
      </w:r>
      <w:proofErr w:type="gramEnd"/>
      <w:r w:rsidRPr="00E47F62">
        <w:rPr>
          <w:rFonts w:ascii="Tw Cen MT" w:eastAsia="Tw Cen MT" w:hAnsi="Tw Cen MT" w:cs="Tw Cen MT"/>
          <w:b w:val="0"/>
          <w:bCs w:val="0"/>
        </w:rPr>
        <w:t xml:space="preserve"> through the polymerization processes, which imply that the chain extensions can be undergoing to full conversion or block copolymerization via iterative monomer addition after full conversion. In the block copolymer system, the monomer sequence is successfully varied furnishing complex compositions with functional groups placed in different positions into the polymer backbone. Water </w:t>
      </w:r>
      <w:proofErr w:type="gramStart"/>
      <w:r w:rsidRPr="00E47F62">
        <w:rPr>
          <w:rFonts w:ascii="Tw Cen MT" w:eastAsia="Tw Cen MT" w:hAnsi="Tw Cen MT" w:cs="Tw Cen MT"/>
          <w:b w:val="0"/>
          <w:bCs w:val="0"/>
        </w:rPr>
        <w:t>is utilized</w:t>
      </w:r>
      <w:proofErr w:type="gramEnd"/>
      <w:r w:rsidRPr="00E47F62">
        <w:rPr>
          <w:rFonts w:ascii="Tw Cen MT" w:eastAsia="Tw Cen MT" w:hAnsi="Tw Cen MT" w:cs="Tw Cen MT"/>
          <w:b w:val="0"/>
          <w:bCs w:val="0"/>
        </w:rPr>
        <w:t xml:space="preserve"> as the solvent for the preparation of block copolymers of various acrylamides at or below ambient temperature implying compatibility with biological systems. Control over monomer sequence and polymer composition </w:t>
      </w:r>
      <w:proofErr w:type="gramStart"/>
      <w:r w:rsidRPr="00E47F62">
        <w:rPr>
          <w:rFonts w:ascii="Tw Cen MT" w:eastAsia="Tw Cen MT" w:hAnsi="Tw Cen MT" w:cs="Tw Cen MT"/>
          <w:b w:val="0"/>
          <w:bCs w:val="0"/>
        </w:rPr>
        <w:t>can be conducted</w:t>
      </w:r>
      <w:proofErr w:type="gramEnd"/>
      <w:r w:rsidRPr="00E47F62">
        <w:rPr>
          <w:rFonts w:ascii="Tw Cen MT" w:eastAsia="Tw Cen MT" w:hAnsi="Tw Cen MT" w:cs="Tw Cen MT"/>
          <w:b w:val="0"/>
          <w:bCs w:val="0"/>
        </w:rPr>
        <w:t xml:space="preserve"> in one pot without the need to purify the </w:t>
      </w:r>
      <w:proofErr w:type="spellStart"/>
      <w:r w:rsidRPr="00E47F62">
        <w:rPr>
          <w:rFonts w:ascii="Tw Cen MT" w:eastAsia="Tw Cen MT" w:hAnsi="Tw Cen MT" w:cs="Tw Cen MT"/>
          <w:b w:val="0"/>
          <w:bCs w:val="0"/>
        </w:rPr>
        <w:t>macroinitiators</w:t>
      </w:r>
      <w:proofErr w:type="spellEnd"/>
      <w:r w:rsidRPr="00E47F62">
        <w:rPr>
          <w:rFonts w:ascii="Tw Cen MT" w:eastAsia="Tw Cen MT" w:hAnsi="Tw Cen MT" w:cs="Tw Cen MT"/>
          <w:b w:val="0"/>
          <w:bCs w:val="0"/>
        </w:rPr>
        <w:t xml:space="preserve"> or compromise the final dispersity.</w:t>
      </w:r>
      <w:r w:rsidR="00A9710C" w:rsidRPr="00E47F62">
        <w:rPr>
          <w:b w:val="0"/>
        </w:rPr>
        <w:br w:type="column"/>
      </w:r>
    </w:p>
    <w:p w:rsidR="00E47F62" w:rsidRDefault="00E47F62" w:rsidP="00E47F62">
      <w:pPr>
        <w:pStyle w:val="Heading3"/>
        <w:spacing w:before="74"/>
      </w:pPr>
    </w:p>
    <w:p w:rsidR="00AE3E37" w:rsidRDefault="001C372B">
      <w:pPr>
        <w:pStyle w:val="BodyText"/>
        <w:spacing w:before="2"/>
        <w:rPr>
          <w:rFonts w:ascii="Arial"/>
          <w:b/>
          <w:sz w:val="16"/>
        </w:rPr>
      </w:pPr>
      <w:r w:rsidRPr="001C372B">
        <w:rPr>
          <w:rFonts w:ascii="Times New Roman" w:eastAsia="SimSun" w:hAnsi="Times New Roman" w:cs="Times New Roman"/>
          <w:noProof/>
          <w:sz w:val="24"/>
          <w:szCs w:val="24"/>
        </w:rPr>
        <w:drawing>
          <wp:inline distT="0" distB="0" distL="0" distR="0">
            <wp:extent cx="3165475" cy="2226362"/>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226362"/>
                    </a:xfrm>
                    <a:prstGeom prst="rect">
                      <a:avLst/>
                    </a:prstGeom>
                    <a:noFill/>
                  </pic:spPr>
                </pic:pic>
              </a:graphicData>
            </a:graphic>
          </wp:inline>
        </w:drawing>
      </w:r>
    </w:p>
    <w:p w:rsidR="001C372B" w:rsidRDefault="001C372B">
      <w:pPr>
        <w:pStyle w:val="BodyText"/>
        <w:spacing w:before="2"/>
        <w:rPr>
          <w:rFonts w:ascii="Arial"/>
          <w:b/>
          <w:sz w:val="16"/>
        </w:rPr>
      </w:pPr>
      <w:r w:rsidRPr="001C372B">
        <w:rPr>
          <w:rFonts w:ascii="Arial"/>
          <w:b/>
          <w:sz w:val="16"/>
        </w:rPr>
        <w:t xml:space="preserve">Fig1. </w:t>
      </w:r>
      <w:r w:rsidRPr="001C372B">
        <w:rPr>
          <w:rFonts w:ascii="Arial"/>
          <w:bCs/>
          <w:sz w:val="16"/>
        </w:rPr>
        <w:t xml:space="preserve">Synthesis of triblock copolymers composed of HEAA, NIPAM and DMA by iterative </w:t>
      </w:r>
      <w:proofErr w:type="gramStart"/>
      <w:r w:rsidRPr="001C372B">
        <w:rPr>
          <w:rFonts w:ascii="Arial"/>
          <w:bCs/>
          <w:sz w:val="16"/>
        </w:rPr>
        <w:t>Cu(</w:t>
      </w:r>
      <w:proofErr w:type="gramEnd"/>
      <w:r w:rsidRPr="001C372B">
        <w:rPr>
          <w:rFonts w:ascii="Arial"/>
          <w:bCs/>
          <w:sz w:val="16"/>
        </w:rPr>
        <w:t xml:space="preserve">0)-mediated </w:t>
      </w:r>
      <w:proofErr w:type="spellStart"/>
      <w:r w:rsidRPr="001C372B">
        <w:rPr>
          <w:rFonts w:ascii="Arial"/>
          <w:bCs/>
          <w:sz w:val="16"/>
        </w:rPr>
        <w:t>polymerisation</w:t>
      </w:r>
      <w:proofErr w:type="spellEnd"/>
      <w:r w:rsidRPr="001C372B">
        <w:rPr>
          <w:rFonts w:ascii="Arial"/>
          <w:bCs/>
          <w:sz w:val="16"/>
        </w:rPr>
        <w:t xml:space="preserve"> in H2O at 0</w:t>
      </w:r>
      <w:r w:rsidRPr="001C372B">
        <w:rPr>
          <w:rFonts w:ascii="Arial"/>
          <w:bCs/>
          <w:sz w:val="16"/>
        </w:rPr>
        <w:t>°</w:t>
      </w:r>
      <w:r w:rsidRPr="001C372B">
        <w:rPr>
          <w:rFonts w:ascii="Arial"/>
          <w:bCs/>
          <w:sz w:val="16"/>
        </w:rPr>
        <w:t>C via prior disproportionation of [Cu(Me6TREN)Br].</w:t>
      </w:r>
    </w:p>
    <w:p w:rsidR="005973B9" w:rsidRDefault="005973B9" w:rsidP="005973B9">
      <w:pPr>
        <w:spacing w:line="204" w:lineRule="exact"/>
        <w:rPr>
          <w:rFonts w:ascii="Arial"/>
          <w:b/>
          <w:sz w:val="20"/>
        </w:rPr>
      </w:pPr>
      <w:r>
        <w:rPr>
          <w:rFonts w:ascii="Arial"/>
          <w:b/>
          <w:color w:val="BF5A14"/>
          <w:sz w:val="20"/>
        </w:rPr>
        <w:br/>
        <w:t>Recent Publications (minimum 5)</w:t>
      </w:r>
    </w:p>
    <w:p w:rsidR="001C372B" w:rsidRDefault="001C372B" w:rsidP="001C372B">
      <w:pPr>
        <w:pStyle w:val="ListParagraph"/>
        <w:numPr>
          <w:ilvl w:val="0"/>
          <w:numId w:val="3"/>
        </w:numPr>
        <w:tabs>
          <w:tab w:val="left" w:pos="384"/>
        </w:tabs>
        <w:spacing w:line="216" w:lineRule="exact"/>
        <w:ind w:right="137"/>
        <w:rPr>
          <w:sz w:val="18"/>
        </w:rPr>
      </w:pPr>
      <w:r w:rsidRPr="001C372B">
        <w:rPr>
          <w:sz w:val="18"/>
        </w:rPr>
        <w:t>Comparison of the Kinetic Hydrate Inhibition Performance of Block and Statistical N</w:t>
      </w:r>
      <w:r w:rsidRPr="001C372B">
        <w:rPr>
          <w:rFonts w:ascii="MS Gothic" w:eastAsia="MS Gothic" w:hAnsi="MS Gothic" w:cs="MS Gothic" w:hint="eastAsia"/>
          <w:sz w:val="18"/>
        </w:rPr>
        <w:t>‑</w:t>
      </w:r>
      <w:proofErr w:type="spellStart"/>
      <w:r w:rsidRPr="001C372B">
        <w:rPr>
          <w:sz w:val="18"/>
        </w:rPr>
        <w:t>Alkylacrylamide</w:t>
      </w:r>
      <w:proofErr w:type="spellEnd"/>
      <w:r w:rsidRPr="001C372B">
        <w:rPr>
          <w:sz w:val="18"/>
        </w:rPr>
        <w:t xml:space="preserve"> Copolymers</w:t>
      </w:r>
      <w:r>
        <w:rPr>
          <w:sz w:val="18"/>
        </w:rPr>
        <w:t>,</w:t>
      </w:r>
      <w:r w:rsidRPr="001C372B">
        <w:t xml:space="preserve"> </w:t>
      </w:r>
      <w:r w:rsidRPr="001C372B">
        <w:rPr>
          <w:sz w:val="18"/>
        </w:rPr>
        <w:t xml:space="preserve">Energy Fuels, 2017, 31 (2), pp 1355–1361 </w:t>
      </w:r>
    </w:p>
    <w:p w:rsidR="00E47F62" w:rsidRDefault="00E47F62" w:rsidP="00E47F62">
      <w:pPr>
        <w:pStyle w:val="ListParagraph"/>
        <w:numPr>
          <w:ilvl w:val="0"/>
          <w:numId w:val="3"/>
        </w:numPr>
        <w:tabs>
          <w:tab w:val="left" w:pos="384"/>
        </w:tabs>
        <w:spacing w:line="216" w:lineRule="exact"/>
        <w:ind w:right="138"/>
        <w:rPr>
          <w:sz w:val="18"/>
        </w:rPr>
      </w:pPr>
      <w:r w:rsidRPr="00E47F62">
        <w:rPr>
          <w:sz w:val="18"/>
        </w:rPr>
        <w:t>Synthesis of well-defined-</w:t>
      </w:r>
      <w:proofErr w:type="spellStart"/>
      <w:r w:rsidRPr="00E47F62">
        <w:rPr>
          <w:sz w:val="18"/>
        </w:rPr>
        <w:t>telechelic</w:t>
      </w:r>
      <w:proofErr w:type="spellEnd"/>
      <w:r w:rsidRPr="00E47F62">
        <w:rPr>
          <w:sz w:val="18"/>
        </w:rPr>
        <w:t xml:space="preserve"> </w:t>
      </w:r>
      <w:proofErr w:type="spellStart"/>
      <w:r w:rsidRPr="00E47F62">
        <w:rPr>
          <w:sz w:val="18"/>
        </w:rPr>
        <w:t>multiblock</w:t>
      </w:r>
      <w:proofErr w:type="spellEnd"/>
      <w:r w:rsidRPr="00E47F62">
        <w:rPr>
          <w:sz w:val="18"/>
        </w:rPr>
        <w:t xml:space="preserve"> copolymers in aqueous medium in situ generation o-diol</w:t>
      </w:r>
      <w:r>
        <w:rPr>
          <w:sz w:val="18"/>
        </w:rPr>
        <w:t>.</w:t>
      </w:r>
      <w:r w:rsidRPr="00E47F62">
        <w:rPr>
          <w:sz w:val="18"/>
        </w:rPr>
        <w:t xml:space="preserve"> Polymer Chemistry 6 (32), 5940-5950</w:t>
      </w:r>
    </w:p>
    <w:p w:rsidR="00E47F62" w:rsidRPr="00E47F62" w:rsidRDefault="00E47F62" w:rsidP="00E47F62">
      <w:pPr>
        <w:pStyle w:val="ListParagraph"/>
        <w:numPr>
          <w:ilvl w:val="0"/>
          <w:numId w:val="3"/>
        </w:numPr>
        <w:tabs>
          <w:tab w:val="left" w:pos="384"/>
        </w:tabs>
        <w:spacing w:before="92" w:line="218" w:lineRule="exact"/>
      </w:pPr>
      <w:r w:rsidRPr="00E47F62">
        <w:rPr>
          <w:sz w:val="18"/>
        </w:rPr>
        <w:t>Investigating the Mechanism of Copper(0)-Mediated Living Radical Polymerization in Organic Media</w:t>
      </w:r>
      <w:r w:rsidRPr="00E47F62">
        <w:t xml:space="preserve"> </w:t>
      </w:r>
      <w:r w:rsidRPr="00E47F62">
        <w:rPr>
          <w:sz w:val="18"/>
        </w:rPr>
        <w:t>Macromolecules 48 (16), 5517-5525</w:t>
      </w:r>
    </w:p>
    <w:p w:rsidR="005973B9" w:rsidRPr="00E47F62" w:rsidRDefault="005973B9" w:rsidP="00E47F62">
      <w:pPr>
        <w:pStyle w:val="ListParagraph"/>
        <w:numPr>
          <w:ilvl w:val="0"/>
          <w:numId w:val="3"/>
        </w:numPr>
        <w:tabs>
          <w:tab w:val="left" w:pos="384"/>
        </w:tabs>
        <w:spacing w:before="92" w:line="218" w:lineRule="exact"/>
        <w:rPr>
          <w:sz w:val="18"/>
          <w:szCs w:val="18"/>
        </w:rPr>
      </w:pPr>
      <w:r w:rsidRPr="00E47F62">
        <w:rPr>
          <w:sz w:val="18"/>
          <w:szCs w:val="18"/>
        </w:rPr>
        <w:t xml:space="preserve">5. </w:t>
      </w:r>
      <w:r w:rsidR="00E47F62" w:rsidRPr="00E47F62">
        <w:rPr>
          <w:sz w:val="18"/>
          <w:szCs w:val="18"/>
        </w:rPr>
        <w:t xml:space="preserve">Sequence-controlled multi-block copolymerization of acrylamides via aqueous SET-LRP at </w:t>
      </w:r>
      <w:proofErr w:type="gramStart"/>
      <w:r w:rsidR="00E47F62" w:rsidRPr="00E47F62">
        <w:rPr>
          <w:sz w:val="18"/>
          <w:szCs w:val="18"/>
        </w:rPr>
        <w:t>0</w:t>
      </w:r>
      <w:proofErr w:type="gramEnd"/>
      <w:r w:rsidRPr="00E47F62">
        <w:rPr>
          <w:sz w:val="18"/>
          <w:szCs w:val="18"/>
        </w:rPr>
        <w:t>.</w:t>
      </w:r>
      <w:r w:rsidR="00E47F62" w:rsidRPr="00E47F62">
        <w:rPr>
          <w:sz w:val="18"/>
          <w:szCs w:val="18"/>
        </w:rPr>
        <w:t xml:space="preserve"> Polymer Chemistry 6 (3), 406-417</w:t>
      </w:r>
    </w:p>
    <w:p w:rsidR="00E47F62" w:rsidRPr="00E47F62" w:rsidRDefault="00E47F62" w:rsidP="00E47F62">
      <w:pPr>
        <w:pStyle w:val="ListParagraph"/>
        <w:numPr>
          <w:ilvl w:val="0"/>
          <w:numId w:val="3"/>
        </w:numPr>
        <w:tabs>
          <w:tab w:val="left" w:pos="384"/>
        </w:tabs>
        <w:spacing w:before="92" w:line="218" w:lineRule="exact"/>
        <w:rPr>
          <w:sz w:val="18"/>
          <w:szCs w:val="18"/>
        </w:rPr>
      </w:pPr>
      <w:r w:rsidRPr="00E47F62">
        <w:rPr>
          <w:sz w:val="18"/>
          <w:szCs w:val="18"/>
        </w:rPr>
        <w:t xml:space="preserve">Investigating the Mechanism of </w:t>
      </w:r>
      <w:proofErr w:type="gramStart"/>
      <w:r w:rsidRPr="00E47F62">
        <w:rPr>
          <w:sz w:val="18"/>
          <w:szCs w:val="18"/>
        </w:rPr>
        <w:t>Copper(</w:t>
      </w:r>
      <w:proofErr w:type="gramEnd"/>
      <w:r w:rsidRPr="00E47F62">
        <w:rPr>
          <w:sz w:val="18"/>
          <w:szCs w:val="18"/>
        </w:rPr>
        <w:t>0)-Mediated Living Radical Polymerization in Aqueous Media. Macromolecules 48 (18), 6421-6432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F0827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1C372B">
      <w:pPr>
        <w:spacing w:before="92"/>
        <w:ind w:right="4234"/>
        <w:rPr>
          <w:rFonts w:ascii="Arial"/>
        </w:rPr>
      </w:pPr>
      <w:r>
        <w:rPr>
          <w:noProof/>
        </w:rPr>
        <w:t xml:space="preserve">              </w:t>
      </w:r>
      <w:r w:rsidR="001C372B">
        <w:rPr>
          <w:noProof/>
        </w:rPr>
        <w:drawing>
          <wp:inline distT="0" distB="0" distL="0" distR="0" wp14:anchorId="5CB63B10">
            <wp:extent cx="504825" cy="6324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769" cy="642434"/>
                    </a:xfrm>
                    <a:prstGeom prst="rect">
                      <a:avLst/>
                    </a:prstGeom>
                    <a:noFill/>
                  </pic:spPr>
                </pic:pic>
              </a:graphicData>
            </a:graphic>
          </wp:inline>
        </w:drawing>
      </w:r>
    </w:p>
    <w:p w:rsidR="001C372B" w:rsidRPr="001C372B" w:rsidRDefault="001C372B" w:rsidP="001C372B">
      <w:pPr>
        <w:spacing w:before="41" w:line="154" w:lineRule="exact"/>
        <w:ind w:left="213" w:right="231"/>
        <w:rPr>
          <w:rFonts w:ascii="Arial"/>
          <w:sz w:val="14"/>
        </w:rPr>
      </w:pPr>
      <w:r w:rsidRPr="001C372B">
        <w:rPr>
          <w:rFonts w:ascii="Arial"/>
          <w:sz w:val="14"/>
        </w:rPr>
        <w:t xml:space="preserve">Fehaid graduated from King Saud University in Saudi Arabia with </w:t>
      </w:r>
      <w:proofErr w:type="spellStart"/>
      <w:r w:rsidRPr="001C372B">
        <w:rPr>
          <w:rFonts w:ascii="Arial"/>
          <w:sz w:val="14"/>
        </w:rPr>
        <w:t>B.Sc</w:t>
      </w:r>
      <w:proofErr w:type="spellEnd"/>
      <w:r w:rsidRPr="001C372B">
        <w:rPr>
          <w:rFonts w:ascii="Arial"/>
          <w:sz w:val="14"/>
        </w:rPr>
        <w:t xml:space="preserve"> and </w:t>
      </w:r>
      <w:proofErr w:type="spellStart"/>
      <w:r w:rsidRPr="001C372B">
        <w:rPr>
          <w:rFonts w:ascii="Arial"/>
          <w:sz w:val="14"/>
        </w:rPr>
        <w:t>M.Sc</w:t>
      </w:r>
      <w:proofErr w:type="spellEnd"/>
      <w:r w:rsidRPr="001C372B">
        <w:rPr>
          <w:rFonts w:ascii="Arial"/>
          <w:sz w:val="14"/>
        </w:rPr>
        <w:t xml:space="preserve"> degrees in Chemistry. He completed his M.Sc. under the supervision of Professor Ayman El-Faham. In 2012, he moved to Warwick University in the UK to pursue a Ph.D. degree in the group of Professor David </w:t>
      </w:r>
      <w:proofErr w:type="spellStart"/>
      <w:r w:rsidRPr="001C372B">
        <w:rPr>
          <w:rFonts w:ascii="Arial"/>
          <w:sz w:val="14"/>
        </w:rPr>
        <w:t>Haddleton</w:t>
      </w:r>
      <w:proofErr w:type="spellEnd"/>
      <w:r w:rsidRPr="001C372B">
        <w:rPr>
          <w:rFonts w:ascii="Arial"/>
          <w:sz w:val="14"/>
        </w:rPr>
        <w:t xml:space="preserve">. </w:t>
      </w:r>
      <w:proofErr w:type="spellStart"/>
      <w:r w:rsidRPr="001C372B">
        <w:rPr>
          <w:rFonts w:ascii="Arial"/>
          <w:sz w:val="14"/>
        </w:rPr>
        <w:t>Fehaid</w:t>
      </w:r>
      <w:r w:rsidRPr="001C372B">
        <w:rPr>
          <w:rFonts w:ascii="Arial"/>
          <w:sz w:val="14"/>
        </w:rPr>
        <w:t>’</w:t>
      </w:r>
      <w:r w:rsidRPr="001C372B">
        <w:rPr>
          <w:rFonts w:ascii="Arial"/>
          <w:sz w:val="14"/>
        </w:rPr>
        <w:t>s</w:t>
      </w:r>
      <w:proofErr w:type="spellEnd"/>
      <w:r w:rsidRPr="001C372B">
        <w:rPr>
          <w:rFonts w:ascii="Arial"/>
          <w:sz w:val="14"/>
        </w:rPr>
        <w:t xml:space="preserve"> research has focused on controlled </w:t>
      </w:r>
      <w:r w:rsidRPr="001C372B">
        <w:rPr>
          <w:rFonts w:ascii="Arial"/>
          <w:sz w:val="14"/>
        </w:rPr>
        <w:t>‘’</w:t>
      </w:r>
      <w:r w:rsidRPr="001C372B">
        <w:rPr>
          <w:rFonts w:ascii="Arial"/>
          <w:sz w:val="14"/>
        </w:rPr>
        <w:t>living</w:t>
      </w:r>
      <w:r w:rsidRPr="001C372B">
        <w:rPr>
          <w:rFonts w:ascii="Arial"/>
          <w:sz w:val="14"/>
        </w:rPr>
        <w:t>’’</w:t>
      </w:r>
      <w:r w:rsidRPr="001C372B">
        <w:rPr>
          <w:rFonts w:ascii="Arial"/>
          <w:sz w:val="14"/>
        </w:rPr>
        <w:t xml:space="preserve"> radical </w:t>
      </w:r>
      <w:proofErr w:type="spellStart"/>
      <w:r w:rsidRPr="001C372B">
        <w:rPr>
          <w:rFonts w:ascii="Arial"/>
          <w:sz w:val="14"/>
        </w:rPr>
        <w:t>polymerisation</w:t>
      </w:r>
      <w:proofErr w:type="spellEnd"/>
      <w:r w:rsidRPr="001C372B">
        <w:rPr>
          <w:rFonts w:ascii="Arial"/>
          <w:sz w:val="14"/>
        </w:rPr>
        <w:t xml:space="preserve"> to </w:t>
      </w:r>
      <w:proofErr w:type="spellStart"/>
      <w:r w:rsidRPr="001C372B">
        <w:rPr>
          <w:rFonts w:ascii="Arial"/>
          <w:sz w:val="14"/>
        </w:rPr>
        <w:t>synthesise</w:t>
      </w:r>
      <w:proofErr w:type="spellEnd"/>
      <w:r w:rsidRPr="001C372B">
        <w:rPr>
          <w:rFonts w:ascii="Arial"/>
          <w:sz w:val="14"/>
        </w:rPr>
        <w:t xml:space="preserve"> polymeric materials with precise structures and compositions. </w:t>
      </w:r>
    </w:p>
    <w:p w:rsidR="00AE3E37" w:rsidRDefault="001C372B" w:rsidP="001C372B">
      <w:pPr>
        <w:spacing w:before="41" w:line="154" w:lineRule="exact"/>
        <w:ind w:left="213" w:right="231"/>
        <w:jc w:val="both"/>
        <w:rPr>
          <w:rFonts w:ascii="Arial"/>
          <w:sz w:val="14"/>
        </w:rPr>
      </w:pPr>
      <w:r w:rsidRPr="001C372B">
        <w:rPr>
          <w:rFonts w:ascii="Arial"/>
          <w:sz w:val="14"/>
        </w:rPr>
        <w:t xml:space="preserve">He </w:t>
      </w:r>
      <w:proofErr w:type="gramStart"/>
      <w:r w:rsidRPr="001C372B">
        <w:rPr>
          <w:rFonts w:ascii="Arial"/>
          <w:sz w:val="14"/>
        </w:rPr>
        <w:t>was then appointed</w:t>
      </w:r>
      <w:proofErr w:type="gramEnd"/>
      <w:r w:rsidRPr="001C372B">
        <w:rPr>
          <w:rFonts w:ascii="Arial"/>
          <w:sz w:val="14"/>
        </w:rPr>
        <w:t xml:space="preserve"> to King Abdulaziz City for Science and Technology (KACST), Saudi Arabia, Riyadh, at the end of 2016 as an Assistant Research Professor.</w:t>
      </w:r>
    </w:p>
    <w:p w:rsidR="00AE3E37" w:rsidRDefault="00A9710C" w:rsidP="001C372B">
      <w:pPr>
        <w:spacing w:before="62"/>
        <w:ind w:left="4217" w:right="4235"/>
        <w:jc w:val="center"/>
        <w:rPr>
          <w:rFonts w:ascii="Arial"/>
          <w:sz w:val="14"/>
        </w:rPr>
      </w:pPr>
      <w:r>
        <w:rPr>
          <w:rFonts w:ascii="Arial"/>
          <w:sz w:val="14"/>
        </w:rPr>
        <w:t>Email:</w:t>
      </w:r>
      <w:r w:rsidR="001C372B">
        <w:rPr>
          <w:rStyle w:val="Hyperlink"/>
          <w:rFonts w:ascii="Arial"/>
          <w:sz w:val="14"/>
        </w:rPr>
        <w:t xml:space="preserve"> falsubaie@kacst.edu.sa</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9C0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D6E" w:rsidRDefault="00731D6E">
      <w:r>
        <w:separator/>
      </w:r>
    </w:p>
  </w:endnote>
  <w:endnote w:type="continuationSeparator" w:id="0">
    <w:p w:rsidR="00731D6E" w:rsidRDefault="00731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D6E" w:rsidRDefault="00731D6E">
      <w:r>
        <w:separator/>
      </w:r>
    </w:p>
  </w:footnote>
  <w:footnote w:type="continuationSeparator" w:id="0">
    <w:p w:rsidR="00731D6E" w:rsidRDefault="00731D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372B"/>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31D6E"/>
    <w:rsid w:val="0078738A"/>
    <w:rsid w:val="00873DF0"/>
    <w:rsid w:val="008756E6"/>
    <w:rsid w:val="009B2D44"/>
    <w:rsid w:val="00A07E82"/>
    <w:rsid w:val="00A9710C"/>
    <w:rsid w:val="00AE3E37"/>
    <w:rsid w:val="00B21A57"/>
    <w:rsid w:val="00C33602"/>
    <w:rsid w:val="00CD6F55"/>
    <w:rsid w:val="00D62425"/>
    <w:rsid w:val="00DE3104"/>
    <w:rsid w:val="00E47F6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BEF41B-7C06-4162-9CAA-9D82337F4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Fehaid M. Alsubaie</cp:lastModifiedBy>
  <cp:revision>2</cp:revision>
  <dcterms:created xsi:type="dcterms:W3CDTF">2018-11-22T10:10:00Z</dcterms:created>
  <dcterms:modified xsi:type="dcterms:W3CDTF">2018-11-22T10:10:00Z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