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32"/>
          <w:szCs w:val="32"/>
        </w:rPr>
      </w:pPr>
      <w:bookmarkStart w:colFirst="0" w:colLast="0" w:name="_gjdgxs" w:id="0"/>
      <w:bookmarkEnd w:id="0"/>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Automatic Self Transcending Meditation (ASTM): A remedy for improving the sleep quality</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u w:val="single"/>
          <w:rtl w:val="0"/>
        </w:rPr>
        <w:t xml:space="preserve">Divya Kanchibhotla, Shashank Kulkarni, Shweta Singh</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1"/>
          <w:sz w:val="24"/>
          <w:szCs w:val="24"/>
          <w:rtl w:val="0"/>
        </w:rPr>
        <w:t xml:space="preserve">Sri Sri Institute for Advanced Research, Art of Living International Center, Bangalore, India</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 (not more than 300 words)</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widowControl w:val="0"/>
        <w:shd w:fill="ffffff" w:val="clear"/>
        <w:spacing w:line="360" w:lineRule="auto"/>
        <w:ind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Mental health crisis is on the rise in every country in the world. Sleep problems can increase the risk of poor mental health conditions. There are increasing evidences for utility of meditation as an adjunct clinical intervention for problems like depression, anxiety. The present study is an attempt to explore the impact of Sahaj Samadhi Meditation (SSM) a category of Automatic Self Transcending Meditation (ASTM), on sleep quality in adults. The study design was a single group pre-post assessment. Pittsburgh Sleep Quality Index (PSQI) was used in this study. Total 60 participants were assessed at the beginning of the program (day 0), after 2 weeks (day 16) and 2 months (day 60). Significant pre-post differences for the sleep quality on Day 0 - Day 16 and Day 0 - Day 60 (p &lt; 0.05) clearly demonstrated that by practicing SSM participants felt improvement in the sleep quality. Compared with Day 0 assessment, participants demonstrated significant improvement in the quality of sleep on Day 16 and Day 60. However, effect size of the intervention is observed on the 16th day of assessment  was small but on the 60th day the small yet close to medium effect size of the intervention was observed. In the current study we found out that after practicing SSM for two months participants reported that their overall sleep quality has been improved, they take less time in sleeping, they were having less disturbed sleep and less daytime dysfunction due to sleep deprivation. Thus, the present study provide an evidence on the efficacy and safety of non-pharmacological intervention such as SSM help in improving the sleep quality. Thus, it can be concluded that meditation can be an alternative remedy for treating poor sleep among individual by decreasing the use of harmful sedatives drugs.</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Keywords—</w:t>
      </w:r>
      <w:r w:rsidDel="00000000" w:rsidR="00000000" w:rsidRPr="00000000">
        <w:rPr>
          <w:rFonts w:ascii="Times New Roman" w:cs="Times New Roman" w:eastAsia="Times New Roman" w:hAnsi="Times New Roman"/>
          <w:i w:val="1"/>
          <w:sz w:val="24"/>
          <w:szCs w:val="24"/>
          <w:rtl w:val="0"/>
        </w:rPr>
        <w:t xml:space="preserve">Meditation, Automatic Self Transcending Meditation, Sahaj Samadhi Meditation, Sleep</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Professional Biography (100-150 words)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Divya Kanchibhotla is the Director of Sri Sri Institute Advanced Research  (SSIAR) which is the Research wing of Art of living. The vision of SSIAR is to strengthen the Research in the field of Yoga, Meditation, Ayurveda and related practices that improve the quality of life not only for the individual but also for the organizations.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is an Engineer and a Scientist with a B.Tech and M.Tech from Indian Institute of Technology, Delhi followed by a Masters in Molecular and Human Genetics from Baylor College of Medicine, Houston, TX, USA. She has worked as a Senior Scientist at Boston Scientific, USA.</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has been involved with Art of Living since 2001. As a trainer, she has personally trained 1000s of people in Yoga and Meditation all over USA and India. She has traveled extensively as a speaker and addressed events in Corporates like Best Buy, Target Corporation; Health Care Institutes like Mayo Clinic and several International Conferences.</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Recent Publications (up to 5)</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before="20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Rau N, Ingole S, Kulkarni S, </w:t>
      </w:r>
      <w:r w:rsidDel="00000000" w:rsidR="00000000" w:rsidRPr="00000000">
        <w:rPr>
          <w:rFonts w:ascii="Times New Roman" w:cs="Times New Roman" w:eastAsia="Times New Roman" w:hAnsi="Times New Roman"/>
          <w:b w:val="1"/>
          <w:sz w:val="24"/>
          <w:szCs w:val="24"/>
          <w:rtl w:val="0"/>
        </w:rPr>
        <w:t xml:space="preserve">Kanchibhotla D</w:t>
      </w:r>
      <w:r w:rsidDel="00000000" w:rsidR="00000000" w:rsidRPr="00000000">
        <w:rPr>
          <w:rFonts w:ascii="Times New Roman" w:cs="Times New Roman" w:eastAsia="Times New Roman" w:hAnsi="Times New Roman"/>
          <w:sz w:val="24"/>
          <w:szCs w:val="24"/>
          <w:rtl w:val="0"/>
        </w:rPr>
        <w:t xml:space="preserve"> (2018) Effect of sudarshan kriya yoga</w:t>
      </w:r>
      <w:r w:rsidDel="00000000" w:rsidR="00000000" w:rsidRPr="00000000">
        <w:rPr>
          <w:rFonts w:ascii="Times New Roman" w:cs="Times New Roman" w:eastAsia="Times New Roman" w:hAnsi="Times New Roman"/>
          <w:sz w:val="24"/>
          <w:szCs w:val="24"/>
          <w:vertAlign w:val="superscript"/>
          <w:rtl w:val="0"/>
        </w:rPr>
        <w:t xml:space="preserve">TM </w:t>
      </w:r>
      <w:r w:rsidDel="00000000" w:rsidR="00000000" w:rsidRPr="00000000">
        <w:rPr>
          <w:rFonts w:ascii="Times New Roman" w:cs="Times New Roman" w:eastAsia="Times New Roman" w:hAnsi="Times New Roman"/>
          <w:sz w:val="24"/>
          <w:szCs w:val="24"/>
          <w:rtl w:val="0"/>
        </w:rPr>
        <w:t xml:space="preserve">and associated meditation techniques on the connection and sensitivity towards environment. International Journal of Innovative Research in Science, Engineering and Technology 7 (12).</w:t>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20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Kanchibhotla D</w:t>
      </w:r>
      <w:r w:rsidDel="00000000" w:rsidR="00000000" w:rsidRPr="00000000">
        <w:rPr>
          <w:rFonts w:ascii="Times New Roman" w:cs="Times New Roman" w:eastAsia="Times New Roman" w:hAnsi="Times New Roman"/>
          <w:sz w:val="24"/>
          <w:szCs w:val="24"/>
          <w:rtl w:val="0"/>
        </w:rPr>
        <w:t xml:space="preserve">, Anand A, Kulkarni S, Singh S (2018) </w:t>
      </w:r>
      <w:r w:rsidDel="00000000" w:rsidR="00000000" w:rsidRPr="00000000">
        <w:rPr>
          <w:rFonts w:ascii="Times New Roman" w:cs="Times New Roman" w:eastAsia="Times New Roman" w:hAnsi="Times New Roman"/>
          <w:sz w:val="24"/>
          <w:szCs w:val="24"/>
          <w:rtl w:val="0"/>
        </w:rPr>
        <w:t xml:space="preserve">Yoga based leadership program and perceived stress level of rural youth. </w:t>
      </w:r>
      <w:r w:rsidDel="00000000" w:rsidR="00000000" w:rsidRPr="00000000">
        <w:rPr>
          <w:rFonts w:ascii="Times New Roman" w:cs="Times New Roman" w:eastAsia="Times New Roman" w:hAnsi="Times New Roman"/>
          <w:sz w:val="24"/>
          <w:szCs w:val="24"/>
          <w:rtl w:val="0"/>
        </w:rPr>
        <w:t xml:space="preserve">International Journal of Emerging Technologies and Innovative Research 5(12): 754-758.</w:t>
      </w:r>
    </w:p>
    <w:p w:rsidR="00000000" w:rsidDel="00000000" w:rsidP="00000000" w:rsidRDefault="00000000" w:rsidRPr="00000000" w14:paraId="0000001C">
      <w:pPr>
        <w:numPr>
          <w:ilvl w:val="0"/>
          <w:numId w:val="1"/>
        </w:numPr>
        <w:spacing w:after="200" w:before="200" w:line="240" w:lineRule="auto"/>
        <w:ind w:left="720" w:hanging="360"/>
        <w:jc w:val="both"/>
        <w:rPr>
          <w:rFonts w:ascii="Arial" w:cs="Arial" w:eastAsia="Arial" w:hAnsi="Arial"/>
          <w:b w:val="1"/>
          <w:color w:val="343434"/>
          <w:sz w:val="24"/>
          <w:szCs w:val="24"/>
        </w:rPr>
      </w:pPr>
      <w:r w:rsidDel="00000000" w:rsidR="00000000" w:rsidRPr="00000000">
        <w:rPr>
          <w:rFonts w:ascii="Times New Roman" w:cs="Times New Roman" w:eastAsia="Times New Roman" w:hAnsi="Times New Roman"/>
          <w:b w:val="1"/>
          <w:sz w:val="24"/>
          <w:szCs w:val="24"/>
          <w:rtl w:val="0"/>
        </w:rPr>
        <w:t xml:space="preserve">Khurana D</w:t>
      </w:r>
      <w:r w:rsidDel="00000000" w:rsidR="00000000" w:rsidRPr="00000000">
        <w:rPr>
          <w:rFonts w:ascii="Times New Roman" w:cs="Times New Roman" w:eastAsia="Times New Roman" w:hAnsi="Times New Roman"/>
          <w:sz w:val="24"/>
          <w:szCs w:val="24"/>
          <w:rtl w:val="0"/>
        </w:rPr>
        <w:t xml:space="preserve"> (2004) </w:t>
      </w:r>
      <w:r w:rsidDel="00000000" w:rsidR="00000000" w:rsidRPr="00000000">
        <w:rPr>
          <w:rFonts w:ascii="Times New Roman" w:cs="Times New Roman" w:eastAsia="Times New Roman" w:hAnsi="Times New Roman"/>
          <w:sz w:val="24"/>
          <w:szCs w:val="24"/>
          <w:rtl w:val="0"/>
        </w:rPr>
        <w:t xml:space="preserve">Analysis of chromosome 21-specific genes identified from gene expression profiling of pediatric acute lymphoblastic leukemia in down syndrome patients. Advances in Genome Biology &amp; Technology proceedings.</w:t>
      </w:r>
    </w:p>
    <w:p w:rsidR="00000000" w:rsidDel="00000000" w:rsidP="00000000" w:rsidRDefault="00000000" w:rsidRPr="00000000" w14:paraId="0000001D">
      <w:pPr>
        <w:numPr>
          <w:ilvl w:val="0"/>
          <w:numId w:val="1"/>
        </w:numPr>
        <w:spacing w:after="200" w:before="20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Gunaratne PH, Qiu J, Peterson L, </w:t>
      </w:r>
      <w:r w:rsidDel="00000000" w:rsidR="00000000" w:rsidRPr="00000000">
        <w:rPr>
          <w:rFonts w:ascii="Times New Roman" w:cs="Times New Roman" w:eastAsia="Times New Roman" w:hAnsi="Times New Roman"/>
          <w:b w:val="1"/>
          <w:sz w:val="24"/>
          <w:szCs w:val="24"/>
          <w:rtl w:val="0"/>
        </w:rPr>
        <w:t xml:space="preserve">Khurana D,</w:t>
      </w:r>
      <w:r w:rsidDel="00000000" w:rsidR="00000000" w:rsidRPr="00000000">
        <w:rPr>
          <w:rFonts w:ascii="Times New Roman" w:cs="Times New Roman" w:eastAsia="Times New Roman" w:hAnsi="Times New Roman"/>
          <w:sz w:val="24"/>
          <w:szCs w:val="24"/>
          <w:rtl w:val="0"/>
        </w:rPr>
        <w:t xml:space="preserve">Walsham N, Loulseged L, Karni R, Gibbs RA, Margolin J, Gingras M (2003) </w:t>
      </w:r>
      <w:r w:rsidDel="00000000" w:rsidR="00000000" w:rsidRPr="00000000">
        <w:rPr>
          <w:rFonts w:ascii="Times New Roman" w:cs="Times New Roman" w:eastAsia="Times New Roman" w:hAnsi="Times New Roman"/>
          <w:sz w:val="24"/>
          <w:szCs w:val="24"/>
          <w:rtl w:val="0"/>
        </w:rPr>
        <w:t xml:space="preserve">Novel potential acute lymphoblastic leukemia (ALL) low-risk markers revealed by gene expression profiling with new SSH-CCS-PCR. Leukemia 17 (89) 1891-1900.</w:t>
      </w:r>
    </w:p>
    <w:p w:rsidR="00000000" w:rsidDel="00000000" w:rsidP="00000000" w:rsidRDefault="00000000" w:rsidRPr="00000000" w14:paraId="0000001E">
      <w:pPr>
        <w:numPr>
          <w:ilvl w:val="0"/>
          <w:numId w:val="1"/>
        </w:numPr>
        <w:spacing w:after="200" w:before="20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Margolin J, Lopez-Terrada DH, Gingras M, Adesina A, Finegold M, </w:t>
      </w:r>
      <w:r w:rsidDel="00000000" w:rsidR="00000000" w:rsidRPr="00000000">
        <w:rPr>
          <w:rFonts w:ascii="Times New Roman" w:cs="Times New Roman" w:eastAsia="Times New Roman" w:hAnsi="Times New Roman"/>
          <w:b w:val="1"/>
          <w:sz w:val="24"/>
          <w:szCs w:val="24"/>
          <w:rtl w:val="0"/>
        </w:rPr>
        <w:t xml:space="preserve">Khurana D</w:t>
      </w:r>
      <w:r w:rsidDel="00000000" w:rsidR="00000000" w:rsidRPr="00000000">
        <w:rPr>
          <w:rFonts w:ascii="Times New Roman" w:cs="Times New Roman" w:eastAsia="Times New Roman" w:hAnsi="Times New Roman"/>
          <w:sz w:val="24"/>
          <w:szCs w:val="24"/>
          <w:rtl w:val="0"/>
        </w:rPr>
        <w:t xml:space="preserve">, Peterson L, Gibbs R, Gunaratne PH (2004) </w:t>
      </w:r>
      <w:r w:rsidDel="00000000" w:rsidR="00000000" w:rsidRPr="00000000">
        <w:rPr>
          <w:rFonts w:ascii="Times New Roman" w:cs="Times New Roman" w:eastAsia="Times New Roman" w:hAnsi="Times New Roman"/>
          <w:sz w:val="24"/>
          <w:szCs w:val="24"/>
          <w:rtl w:val="0"/>
        </w:rPr>
        <w:t xml:space="preserve">Adaptation of the SSH/CCS/QRT-PCR expression and genomic profiling for use in clinical medicine and pathology: Lessons from pediatric acute lymphoblastic leukemia and hepatoblastoma. Advances in Genome Biology &amp; Technology proceedings.</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Arimo" w:cs="Arimo" w:eastAsia="Arimo" w:hAnsi="Arimo"/>
          <w:sz w:val="20"/>
          <w:szCs w:val="20"/>
        </w:rPr>
        <w:drawing>
          <wp:inline distB="0" distT="0" distL="0" distR="0">
            <wp:extent cx="1462088" cy="1462088"/>
            <wp:effectExtent b="0" l="0" r="0" t="0"/>
            <wp:docPr id="2" name="image2.jpg"/>
            <a:graphic>
              <a:graphicData uri="http://schemas.openxmlformats.org/drawingml/2006/picture">
                <pic:pic>
                  <pic:nvPicPr>
                    <pic:cNvPr id="0" name="image2.jpg"/>
                    <pic:cNvPicPr preferRelativeResize="0"/>
                  </pic:nvPicPr>
                  <pic:blipFill>
                    <a:blip r:embed="rId6"/>
                    <a:srcRect b="12797" l="0" r="0" t="12797"/>
                    <a:stretch>
                      <a:fillRect/>
                    </a:stretch>
                  </pic:blipFill>
                  <pic:spPr>
                    <a:xfrm>
                      <a:off x="0" y="0"/>
                      <a:ext cx="1462088" cy="1462088"/>
                    </a:xfrm>
                    <a:prstGeom prst="rect"/>
                    <a:ln/>
                  </pic:spPr>
                </pic:pic>
              </a:graphicData>
            </a:graphic>
          </wp:inline>
        </w:draw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Id:</w:t>
      </w:r>
      <w:r w:rsidDel="00000000" w:rsidR="00000000" w:rsidRPr="00000000">
        <w:rPr>
          <w:sz w:val="24"/>
          <w:szCs w:val="24"/>
          <w:rtl w:val="0"/>
        </w:rPr>
        <w:t xml:space="preserve">director.ssiar@artofliving.org</w:t>
      </w: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tl w:val="0"/>
        </w:rPr>
      </w:r>
    </w:p>
    <w:sectPr>
      <w:headerReference r:id="rId7" w:type="defaul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841750" cy="689238"/>
          <wp:effectExtent b="0" l="0" r="0" t="0"/>
          <wp:docPr descr="C:\Users\nidhi-a\Desktop\copy-EuroSciCon-logo.jpg" id="1" name="image1.jpg"/>
          <a:graphic>
            <a:graphicData uri="http://schemas.openxmlformats.org/drawingml/2006/picture">
              <pic:pic>
                <pic:nvPicPr>
                  <pic:cNvPr descr="C:\Users\nidhi-a\Desktop\copy-EuroSciCon-logo.jpg" id="0" name="image1.jpg"/>
                  <pic:cNvPicPr preferRelativeResize="0"/>
                </pic:nvPicPr>
                <pic:blipFill>
                  <a:blip r:embed="rId1"/>
                  <a:srcRect b="0" l="0" r="0" t="0"/>
                  <a:stretch>
                    <a:fillRect/>
                  </a:stretch>
                </pic:blipFill>
                <pic:spPr>
                  <a:xfrm>
                    <a:off x="0" y="0"/>
                    <a:ext cx="3841750" cy="689238"/>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