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BC1AD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5E31D6DF" w14:textId="41CFE6EB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FD6624" w:rsidRPr="00FD6624">
        <w:rPr>
          <w:rFonts w:ascii="Times New Roman" w:hAnsi="Times New Roman" w:cs="Times New Roman"/>
          <w:sz w:val="24"/>
          <w:szCs w:val="24"/>
        </w:rPr>
        <w:t>Comparative Study of a Novel Apnoea Event Detection Monitor with Portable Home Study Units</w:t>
      </w:r>
    </w:p>
    <w:p w14:paraId="390D1EBA" w14:textId="440D800B" w:rsidR="00DF04E3" w:rsidRPr="00FD6624" w:rsidRDefault="00FD6624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S.H. Kinsella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P.C. Loughlin,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K.T Sweeney</w:t>
      </w:r>
    </w:p>
    <w:p w14:paraId="476086C2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5D1E9B5D" w14:textId="52F48D80"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="00FD6624">
        <w:rPr>
          <w:rFonts w:ascii="Times New Roman" w:hAnsi="Times New Roman" w:cs="Times New Roman"/>
          <w:i/>
          <w:iCs/>
          <w:sz w:val="24"/>
        </w:rPr>
        <w:t>PMD Solutions Ltd. Ireland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7A3B2549" w14:textId="34F2025A"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="00FD6624">
        <w:rPr>
          <w:rFonts w:ascii="Times New Roman" w:hAnsi="Times New Roman" w:cs="Times New Roman"/>
          <w:i/>
          <w:iCs/>
          <w:sz w:val="24"/>
        </w:rPr>
        <w:t>University of Sydney, Australia)</w:t>
      </w:r>
    </w:p>
    <w:p w14:paraId="4A124DF1" w14:textId="0FF51E5F"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 w:rsidR="00FD6624">
        <w:rPr>
          <w:rFonts w:ascii="Times New Roman" w:hAnsi="Times New Roman" w:cs="Times New Roman"/>
          <w:i/>
          <w:iCs/>
          <w:sz w:val="24"/>
        </w:rPr>
        <w:t>PMD Solutions Ltd. Ireland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14:paraId="3B44EA19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5DD588DD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63F06092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17B5BC86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358C13A9" w14:textId="0261DE06" w:rsidR="00133EC7" w:rsidRPr="00470C69" w:rsidRDefault="00133EC7" w:rsidP="00133EC7">
      <w:pPr>
        <w:rPr>
          <w:rFonts w:cstheme="minorHAnsi"/>
          <w:b/>
        </w:rPr>
      </w:pPr>
      <w:r w:rsidRPr="004E659F">
        <w:rPr>
          <w:rFonts w:cstheme="minorHAnsi"/>
        </w:rPr>
        <w:t>One of the key bottlenecks in the effective treatment of OSA is the lack of available clinics for sleep studies for definitive diagnosis. Waiting times for a sleep study varied widely in the early 2000's with referral to a specialist taking anywhere from 2 - 24 months</w:t>
      </w:r>
      <w:r>
        <w:rPr>
          <w:rFonts w:cstheme="minorHAnsi"/>
          <w:lang/>
        </w:rPr>
        <w:t xml:space="preserve">. </w:t>
      </w:r>
      <w:r w:rsidRPr="004E659F">
        <w:rPr>
          <w:rFonts w:cstheme="minorHAnsi"/>
        </w:rPr>
        <w:t>These inadequacies in recognition and diagnosis of OSA have resulted in an unacceptably high proportion of the population remaining undiagnosed, possibly up to 80% of people with OSA.</w:t>
      </w:r>
      <w:r w:rsidRPr="004E659F">
        <w:rPr>
          <w:rFonts w:cstheme="minorHAnsi"/>
        </w:rPr>
        <w:t xml:space="preserve"> </w:t>
      </w:r>
      <w:r w:rsidRPr="004E659F">
        <w:rPr>
          <w:rFonts w:cstheme="minorHAnsi"/>
        </w:rPr>
        <w:t>These long wait times and the increased health and accident risks associated with undiagnosed OSA, has led to a strong push towards simpler, home-based methods for diagnosing (or 'ruling in') of patients with OSA.</w:t>
      </w:r>
      <w:r>
        <w:rPr>
          <w:rFonts w:cstheme="minorHAnsi"/>
          <w:b/>
          <w:lang/>
        </w:rPr>
        <w:t xml:space="preserve"> </w:t>
      </w:r>
      <w:r w:rsidRPr="004E659F">
        <w:rPr>
          <w:rFonts w:cstheme="minorHAnsi"/>
        </w:rPr>
        <w:t>This study was designed to evaluate the sensitivity and agreement of PMD Solutions’ novel apnoea event screener compared to a Limited Home Sleep Test (HST).</w:t>
      </w:r>
      <w:r>
        <w:rPr>
          <w:rFonts w:cstheme="minorHAnsi"/>
          <w:b/>
          <w:lang/>
        </w:rPr>
        <w:t xml:space="preserve"> </w:t>
      </w:r>
      <w:r w:rsidRPr="004E659F">
        <w:rPr>
          <w:rFonts w:eastAsia="Times New Roman" w:cstheme="minorHAnsi"/>
          <w:lang w:val="en-GB"/>
        </w:rPr>
        <w:t xml:space="preserve">RespiraSense measures the movement of the chest and abdomen separately and simultaneously and transmits breath by breath data along with body positional data, wirelessly to a tablet device. </w:t>
      </w:r>
      <w:r w:rsidRPr="004E659F">
        <w:rPr>
          <w:rFonts w:cstheme="minorHAnsi"/>
          <w:lang w:val="en-IE"/>
        </w:rPr>
        <w:t xml:space="preserve">The data from the </w:t>
      </w:r>
      <w:r w:rsidR="00FA338F">
        <w:rPr>
          <w:rFonts w:cstheme="minorHAnsi"/>
          <w:lang w:val="en-IE"/>
        </w:rPr>
        <w:t>study has</w:t>
      </w:r>
      <w:r w:rsidRPr="004E659F">
        <w:rPr>
          <w:rFonts w:cstheme="minorHAnsi"/>
          <w:lang w:val="en-IE"/>
        </w:rPr>
        <w:t xml:space="preserve"> a very good spread of Apnoea Hypopnea Index (AHI) values</w:t>
      </w:r>
      <w:r w:rsidR="00FA338F">
        <w:rPr>
          <w:rFonts w:cstheme="minorHAnsi"/>
          <w:lang w:val="en-IE"/>
        </w:rPr>
        <w:t>,</w:t>
      </w:r>
      <w:r w:rsidRPr="004E659F">
        <w:rPr>
          <w:rFonts w:cstheme="minorHAnsi"/>
          <w:lang w:val="en-IE"/>
        </w:rPr>
        <w:t xml:space="preserve"> ranging from Normal (0.3) to Severe (140+). This allowed for the algorithm to be tested across the entire range. Sensitivity (79%) and Specificity (87%) from the test results show that the RespiraSense sleep screener has significant promise in its ability to accurately screen a patient for sleep apnoea. This study has provided promising results towards the use of a </w:t>
      </w:r>
      <w:r w:rsidRPr="004E659F">
        <w:rPr>
          <w:rFonts w:cstheme="minorHAnsi"/>
        </w:rPr>
        <w:t xml:space="preserve">non-invasive, take-home device which enables the identification of patients with suspected sleep apnoea. It is believed that the PMD Solutions Sleep Screener in conjunction with a questionnaire, such as STOP-BANG, can assist in tackling long waiting lists for Moderate-Severe apnoea suffers through quick and cost-effective screening. </w:t>
      </w:r>
    </w:p>
    <w:p w14:paraId="6321FD71" w14:textId="77777777" w:rsidR="002350BC" w:rsidRPr="00133EC7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E"/>
        </w:rPr>
      </w:pPr>
    </w:p>
    <w:p w14:paraId="2A04B50A" w14:textId="76663494" w:rsidR="0028059F" w:rsidRPr="00133EC7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  <w:lang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33EC7">
        <w:rPr>
          <w:rFonts w:ascii="Times New Roman" w:hAnsi="Times New Roman" w:cs="Times New Roman"/>
          <w:i/>
          <w:sz w:val="24"/>
          <w:lang/>
        </w:rPr>
        <w:t>Sleep Apnea, Home Screening, Technology, Wearable</w:t>
      </w:r>
    </w:p>
    <w:p w14:paraId="11A20412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0F82EC4D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2CAFFD92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0EA7EC62" w14:textId="54D59CD7" w:rsidR="002626EF" w:rsidRPr="002626EF" w:rsidRDefault="002626E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7120E03B" w14:textId="1AF69F35" w:rsidR="002626EF" w:rsidRPr="002626EF" w:rsidRDefault="002626EF" w:rsidP="00133EC7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Seán Kinsella is a Medical Device professional </w:t>
      </w:r>
      <w:r w:rsidRPr="002626EF">
        <w:rPr>
          <w:rFonts w:ascii="Segoe UI" w:eastAsia="Times New Roman" w:hAnsi="Segoe UI" w:cs="Segoe UI"/>
          <w:sz w:val="24"/>
          <w:szCs w:val="24"/>
          <w:shd w:val="clear" w:color="auto" w:fill="FFFFFF"/>
          <w:lang w:val="en-IE"/>
        </w:rPr>
        <w:t>with responsibility for the strategic direction for innovation, product development and clinical research</w:t>
      </w:r>
      <w:r w:rsidR="007C5FCA">
        <w:rPr>
          <w:rFonts w:ascii="Segoe UI" w:eastAsia="Times New Roman" w:hAnsi="Segoe UI" w:cs="Segoe UI"/>
          <w:sz w:val="24"/>
          <w:szCs w:val="24"/>
          <w:shd w:val="clear" w:color="auto" w:fill="FFFFFF"/>
          <w:lang w:val="en-IE"/>
        </w:rPr>
        <w:t xml:space="preserve"> at PMD Solutions</w:t>
      </w:r>
      <w:r w:rsidRPr="002626EF">
        <w:rPr>
          <w:rFonts w:ascii="Segoe UI" w:eastAsia="Times New Roman" w:hAnsi="Segoe UI" w:cs="Segoe UI"/>
          <w:sz w:val="24"/>
          <w:szCs w:val="24"/>
          <w:shd w:val="clear" w:color="auto" w:fill="FFFFFF"/>
          <w:lang w:val="en-IE"/>
        </w:rPr>
        <w:t xml:space="preserve">. </w:t>
      </w:r>
      <w:r>
        <w:rPr>
          <w:rFonts w:ascii="Segoe UI" w:eastAsia="Times New Roman" w:hAnsi="Segoe UI" w:cs="Segoe UI"/>
          <w:sz w:val="24"/>
          <w:szCs w:val="24"/>
          <w:shd w:val="clear" w:color="auto" w:fill="FFFFFF"/>
          <w:lang w:val="en-IE"/>
        </w:rPr>
        <w:t>He holds an M.Sc. in Applied Physics in the area of robotics</w:t>
      </w:r>
      <w:r w:rsidR="00133EC7">
        <w:rPr>
          <w:rFonts w:ascii="Segoe UI" w:eastAsia="Times New Roman" w:hAnsi="Segoe UI" w:cs="Segoe UI"/>
          <w:sz w:val="24"/>
          <w:szCs w:val="24"/>
          <w:shd w:val="clear" w:color="auto" w:fill="FFFFFF"/>
          <w:lang w:val="en-IE"/>
        </w:rPr>
        <w:t xml:space="preserve">. </w:t>
      </w:r>
      <w:r w:rsidRPr="002626EF">
        <w:rPr>
          <w:rFonts w:ascii="Segoe UI" w:eastAsia="Times New Roman" w:hAnsi="Segoe UI" w:cs="Segoe UI"/>
          <w:sz w:val="24"/>
          <w:szCs w:val="24"/>
          <w:shd w:val="clear" w:color="auto" w:fill="FFFFFF"/>
          <w:lang w:val="en-IE"/>
        </w:rPr>
        <w:t>Technical experience in hardware design, embedded software development and testing, sustaining of life supporting medical devices and 'Connected Health' medical device systems.</w:t>
      </w:r>
    </w:p>
    <w:p w14:paraId="5AA96F8E" w14:textId="77777777" w:rsidR="002626EF" w:rsidRDefault="002626EF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3AD2DFF" w14:textId="7C745279" w:rsidR="00B3082B" w:rsidRPr="00133EC7" w:rsidRDefault="002626EF" w:rsidP="00133EC7">
      <w:pPr>
        <w:rPr>
          <w:rFonts w:ascii="Calibri" w:hAnsi="Calibri"/>
          <w:lang/>
        </w:rPr>
      </w:pPr>
      <w:r>
        <w:rPr>
          <w:rFonts w:ascii="Times New Roman" w:hAnsi="Times New Roman" w:cs="Times New Roman"/>
          <w:iCs/>
          <w:sz w:val="24"/>
        </w:rPr>
        <w:t xml:space="preserve">Dr. Patrick Loughlin </w:t>
      </w:r>
      <w:r w:rsidR="00133EC7">
        <w:rPr>
          <w:rFonts w:ascii="Times New Roman" w:hAnsi="Times New Roman" w:cs="Times New Roman"/>
          <w:iCs/>
          <w:sz w:val="24"/>
          <w:lang/>
        </w:rPr>
        <w:t xml:space="preserve">completed his PhD at the University of Adelaide, South Australia, Australia with </w:t>
      </w:r>
      <w:r w:rsidR="00133EC7">
        <w:rPr>
          <w:rFonts w:ascii="Calibri" w:hAnsi="Calibri"/>
        </w:rPr>
        <w:t>University of Adelaide</w:t>
      </w:r>
      <w:r w:rsidR="00133EC7">
        <w:rPr>
          <w:rFonts w:ascii="Calibri" w:hAnsi="Calibri"/>
          <w:lang/>
        </w:rPr>
        <w:t xml:space="preserve"> with his thesis entitled  </w:t>
      </w:r>
      <w:r w:rsidR="00133EC7">
        <w:rPr>
          <w:rFonts w:ascii="Calibri" w:hAnsi="Calibri"/>
          <w:i/>
        </w:rPr>
        <w:t xml:space="preserve">Elucidation of a </w:t>
      </w:r>
      <w:proofErr w:type="spellStart"/>
      <w:r w:rsidR="00133EC7">
        <w:rPr>
          <w:rFonts w:ascii="Calibri" w:hAnsi="Calibri"/>
          <w:i/>
        </w:rPr>
        <w:t>peribacteroid</w:t>
      </w:r>
      <w:proofErr w:type="spellEnd"/>
      <w:r w:rsidR="00133EC7">
        <w:rPr>
          <w:rFonts w:ascii="Calibri" w:hAnsi="Calibri"/>
          <w:i/>
        </w:rPr>
        <w:t xml:space="preserve"> membrane-bound </w:t>
      </w:r>
      <w:proofErr w:type="spellStart"/>
      <w:r w:rsidR="00133EC7">
        <w:rPr>
          <w:rFonts w:ascii="Calibri" w:hAnsi="Calibri"/>
          <w:i/>
        </w:rPr>
        <w:t>bHLH</w:t>
      </w:r>
      <w:proofErr w:type="spellEnd"/>
      <w:r w:rsidR="00133EC7">
        <w:rPr>
          <w:rFonts w:ascii="Calibri" w:hAnsi="Calibri"/>
          <w:i/>
        </w:rPr>
        <w:t xml:space="preserve"> transcription factor required for legume nitrogen fixation</w:t>
      </w:r>
      <w:r w:rsidR="00133EC7">
        <w:rPr>
          <w:rFonts w:ascii="Calibri" w:hAnsi="Calibri"/>
          <w:i/>
          <w:lang/>
        </w:rPr>
        <w:t xml:space="preserve"> </w:t>
      </w:r>
      <w:r w:rsidR="00133EC7">
        <w:rPr>
          <w:rFonts w:ascii="Calibri" w:hAnsi="Calibri"/>
          <w:lang/>
        </w:rPr>
        <w:t xml:space="preserve">and </w:t>
      </w:r>
      <w:r>
        <w:rPr>
          <w:rFonts w:ascii="Times New Roman" w:hAnsi="Times New Roman" w:cs="Times New Roman"/>
          <w:iCs/>
          <w:sz w:val="24"/>
        </w:rPr>
        <w:t>is a past honorary research fellow at the Unive</w:t>
      </w:r>
      <w:r w:rsidR="00133EC7">
        <w:rPr>
          <w:rFonts w:ascii="Times New Roman" w:hAnsi="Times New Roman" w:cs="Times New Roman"/>
          <w:iCs/>
          <w:sz w:val="24"/>
        </w:rPr>
        <w:t>rsity of Sydney, Australia</w:t>
      </w:r>
      <w:r w:rsidR="00133EC7">
        <w:rPr>
          <w:rFonts w:ascii="Times New Roman" w:hAnsi="Times New Roman" w:cs="Times New Roman"/>
          <w:iCs/>
          <w:sz w:val="24"/>
          <w:lang/>
        </w:rPr>
        <w:t xml:space="preserve">. </w:t>
      </w:r>
      <w:proofErr w:type="spellStart"/>
      <w:r>
        <w:rPr>
          <w:rFonts w:ascii="Times New Roman" w:hAnsi="Times New Roman" w:cs="Times New Roman"/>
          <w:iCs/>
          <w:sz w:val="24"/>
        </w:rPr>
        <w:t>Dr.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Kevin Sweeney completed his PhD. at the National University of Ireland, Maynooth in the area of Motion Artifact Processing Techniques for Physiological Signals.</w:t>
      </w:r>
    </w:p>
    <w:p w14:paraId="5C1E5DB0" w14:textId="23A1611A" w:rsidR="00403C90" w:rsidRPr="002626EF" w:rsidRDefault="00403C90" w:rsidP="00403C90">
      <w:pPr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en-IN"/>
        </w:rPr>
        <w:id w:val="722637268"/>
        <w:docPartObj>
          <w:docPartGallery w:val="Bibliographies"/>
          <w:docPartUnique/>
        </w:docPartObj>
      </w:sdtPr>
      <w:sdtEndPr/>
      <w:sdtContent>
        <w:p w14:paraId="26C9F3E0" w14:textId="34374302" w:rsidR="00403C90" w:rsidRPr="002626EF" w:rsidRDefault="00403C90">
          <w:pPr>
            <w:pStyle w:val="Heading1"/>
            <w:rPr>
              <w:rFonts w:eastAsia="Arial Unicode MS"/>
              <w:bCs w:val="0"/>
              <w:iCs/>
              <w:color w:val="000000"/>
              <w:kern w:val="0"/>
              <w:sz w:val="24"/>
              <w:szCs w:val="20"/>
              <w:lang w:val="en-GB"/>
            </w:rPr>
          </w:pPr>
          <w:r w:rsidRPr="002626EF">
            <w:rPr>
              <w:rFonts w:eastAsia="Arial Unicode MS"/>
              <w:bCs w:val="0"/>
              <w:iCs/>
              <w:color w:val="000000"/>
              <w:kern w:val="0"/>
              <w:sz w:val="24"/>
              <w:szCs w:val="20"/>
              <w:lang w:val="en-GB"/>
            </w:rPr>
            <w:t>Recent Publications</w:t>
          </w:r>
        </w:p>
        <w:sdt>
          <w:sdtPr>
            <w:id w:val="111145805"/>
            <w:bibliography/>
          </w:sdtPr>
          <w:sdtEndPr/>
          <w:sdtContent>
            <w:p w14:paraId="7AEBCC43" w14:textId="77777777" w:rsidR="00403C90" w:rsidRDefault="00403C90">
              <w:pPr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</w:p>
            <w:tbl>
              <w:tblPr>
                <w:tblW w:w="5000" w:type="pct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 w:firstRow="1" w:lastRow="0" w:firstColumn="1" w:lastColumn="0" w:noHBand="0" w:noVBand="1"/>
              </w:tblPr>
              <w:tblGrid>
                <w:gridCol w:w="322"/>
                <w:gridCol w:w="8704"/>
              </w:tblGrid>
              <w:tr w:rsidR="00403C90" w14:paraId="357DB9D6" w14:textId="77777777" w:rsidTr="0002573A">
                <w:trPr>
                  <w:divId w:val="1610351684"/>
                  <w:tblCellSpacing w:w="15" w:type="dxa"/>
                </w:trPr>
                <w:tc>
                  <w:tcPr>
                    <w:tcW w:w="152" w:type="pct"/>
                    <w:hideMark/>
                  </w:tcPr>
                  <w:p w14:paraId="351DA213" w14:textId="2EBBEFD0" w:rsidR="00403C90" w:rsidRDefault="00403C90">
                    <w:pPr>
                      <w:pStyle w:val="Bibliography"/>
                      <w:rPr>
                        <w:noProof/>
                        <w:sz w:val="24"/>
                        <w:szCs w:val="24"/>
                      </w:rPr>
                    </w:pPr>
                    <w:r>
                      <w:rPr>
                        <w:noProof/>
                      </w:rPr>
                      <w:t xml:space="preserve">[1]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4CDF81A7" w14:textId="77777777" w:rsidR="00403C90" w:rsidRDefault="00403C90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C. P. Subbe and S. H. Kinsella, “Continuous Monitoring of Respiratory Rate in Emergency Admissions: Evaluation of the RespiraSense™ Sensor in Acute Care Compared to the Industry Standard and Gold Standard,” </w:t>
                    </w:r>
                    <w:r>
                      <w:rPr>
                        <w:i/>
                        <w:iCs/>
                        <w:noProof/>
                      </w:rPr>
                      <w:t xml:space="preserve">Sensors, </w:t>
                    </w:r>
                    <w:r>
                      <w:rPr>
                        <w:noProof/>
                      </w:rPr>
                      <w:t xml:space="preserve">vol. 18, no. 8, p. 2700, 2018. </w:t>
                    </w:r>
                  </w:p>
                </w:tc>
              </w:tr>
              <w:tr w:rsidR="00403C90" w14:paraId="463A2534" w14:textId="77777777" w:rsidTr="0002573A">
                <w:trPr>
                  <w:divId w:val="1610351684"/>
                  <w:tblCellSpacing w:w="15" w:type="dxa"/>
                </w:trPr>
                <w:tc>
                  <w:tcPr>
                    <w:tcW w:w="152" w:type="pct"/>
                    <w:hideMark/>
                  </w:tcPr>
                  <w:p w14:paraId="334F1C3D" w14:textId="77777777" w:rsidR="00403C90" w:rsidRDefault="00403C90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[2]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7CFB0D4C" w14:textId="77777777" w:rsidR="00403C90" w:rsidRDefault="00403C90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P. C. Loughlin, F. Sebat and J. G. Kellett, “Respiratory Rate: The Forgotten Vital Sign - Make It Count!,” </w:t>
                    </w:r>
                    <w:r>
                      <w:rPr>
                        <w:i/>
                        <w:iCs/>
                        <w:noProof/>
                      </w:rPr>
                      <w:t xml:space="preserve">The Joint Commission Journal on Quality and Patient Safety, </w:t>
                    </w:r>
                    <w:r>
                      <w:rPr>
                        <w:noProof/>
                      </w:rPr>
                      <w:t xml:space="preserve">vol. 44, no. 44, pp. 494-499, 2018. </w:t>
                    </w:r>
                  </w:p>
                </w:tc>
              </w:tr>
            </w:tbl>
            <w:p w14:paraId="543308F6" w14:textId="7E05846D" w:rsidR="0002573A" w:rsidRPr="00AE3F8D" w:rsidRDefault="0002573A" w:rsidP="0002573A">
              <w:pPr>
                <w:shd w:val="clear" w:color="auto" w:fill="FFFFFF"/>
                <w:spacing w:before="240"/>
                <w:divId w:val="1610351684"/>
                <w:rPr>
                  <w:rFonts w:ascii="Calibri" w:hAnsi="Calibri"/>
                  <w:color w:val="282828"/>
                  <w:lang w:bidi="en-US"/>
                </w:rPr>
              </w:pPr>
              <w:r>
                <w:rPr>
                  <w:rFonts w:ascii="Calibri" w:hAnsi="Calibri"/>
                  <w:bCs/>
                  <w:color w:val="282828"/>
                  <w:lang w:val="en-US" w:bidi="en-US"/>
                </w:rPr>
                <w:t xml:space="preserve">[3] </w:t>
              </w:r>
              <w:r w:rsidRPr="002F1222">
                <w:rPr>
                  <w:rFonts w:ascii="Calibri" w:hAnsi="Calibri"/>
                  <w:bCs/>
                  <w:color w:val="282828"/>
                  <w:lang w:val="en-US" w:bidi="en-US"/>
                </w:rPr>
                <w:t>Baker</w:t>
              </w:r>
              <w:r>
                <w:rPr>
                  <w:rFonts w:ascii="Calibri" w:hAnsi="Calibri"/>
                  <w:bCs/>
                  <w:color w:val="282828"/>
                  <w:lang w:val="en-US" w:bidi="en-US"/>
                </w:rPr>
                <w:t xml:space="preserve"> J.M.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Riester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C.J.,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Skinner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B.M.,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Newell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A.W.,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Swingley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W.D.,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Madigan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M.T.,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Jung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D.O.,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Asao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M.,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Chen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M.,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Loughlin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P.C.,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Pan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H.,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Lin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Y.,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Li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Y.,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Shaw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J.,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Prado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M.,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Sherman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C.,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Kuo-Hsiang Tang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J.,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Blankenship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R.E.,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Zhao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T.,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Touchman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J.W.,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and</w:t>
              </w:r>
              <w:r>
                <w:rPr>
                  <w:rFonts w:ascii="Calibri" w:hAnsi="Calibri"/>
                  <w:color w:val="282828"/>
                  <w:vertAlign w:val="superscript"/>
                  <w:lang w:val="en-US" w:bidi="en-US"/>
                </w:rPr>
                <w:t xml:space="preserve"> </w:t>
              </w:r>
              <w:r w:rsidRPr="002F1222">
                <w:rPr>
                  <w:rFonts w:ascii="Calibri" w:hAnsi="Calibri"/>
                  <w:color w:val="282828"/>
                  <w:lang w:val="en-US" w:bidi="en-US"/>
                </w:rPr>
                <w:t>Sattley</w:t>
              </w:r>
              <w:r>
                <w:rPr>
                  <w:rFonts w:ascii="Calibri" w:hAnsi="Calibri"/>
                  <w:color w:val="282828"/>
                  <w:lang w:val="en-US" w:bidi="en-US"/>
                </w:rPr>
                <w:t xml:space="preserve"> W.M. (2017)</w:t>
              </w:r>
              <w:r w:rsidRPr="002F1222">
                <w:rPr>
                  <w:rFonts w:ascii="Calibri" w:hAnsi="Calibri"/>
                  <w:b/>
                  <w:color w:val="282828"/>
                  <w:lang w:val="en-US" w:bidi="en-US"/>
                </w:rPr>
                <w:t xml:space="preserve"> </w:t>
              </w:r>
              <w:r w:rsidRPr="002F1222">
                <w:rPr>
                  <w:rFonts w:ascii="Calibri" w:hAnsi="Calibri"/>
                  <w:b/>
                  <w:color w:val="282828"/>
                  <w:lang w:bidi="en-US"/>
                </w:rPr>
                <w:t xml:space="preserve">Genome sequence of </w:t>
              </w:r>
              <w:r w:rsidRPr="002F1222">
                <w:rPr>
                  <w:rFonts w:ascii="Calibri" w:hAnsi="Calibri"/>
                  <w:b/>
                  <w:i/>
                  <w:color w:val="282828"/>
                  <w:lang w:bidi="en-US"/>
                </w:rPr>
                <w:t>Rhodoferax antarcticus</w:t>
              </w:r>
              <w:r w:rsidRPr="002F1222">
                <w:rPr>
                  <w:rFonts w:ascii="Calibri" w:hAnsi="Calibri"/>
                  <w:b/>
                  <w:color w:val="282828"/>
                  <w:lang w:bidi="en-US"/>
                </w:rPr>
                <w:t xml:space="preserve"> ANT.BR</w:t>
              </w:r>
              <w:r w:rsidRPr="002F1222">
                <w:rPr>
                  <w:rFonts w:ascii="Calibri" w:hAnsi="Calibri"/>
                  <w:b/>
                  <w:color w:val="282828"/>
                  <w:vertAlign w:val="superscript"/>
                  <w:lang w:bidi="en-US"/>
                </w:rPr>
                <w:t>T</w:t>
              </w:r>
              <w:r w:rsidRPr="002F1222">
                <w:rPr>
                  <w:rFonts w:ascii="Calibri" w:hAnsi="Calibri"/>
                  <w:b/>
                  <w:color w:val="282828"/>
                  <w:lang w:bidi="en-US"/>
                </w:rPr>
                <w:t>, a psychrophilic purple nonsulfur bacterium from an Antarctic microbial mat</w:t>
              </w:r>
              <w:r>
                <w:rPr>
                  <w:rFonts w:ascii="Calibri" w:hAnsi="Calibri"/>
                  <w:b/>
                  <w:color w:val="282828"/>
                  <w:lang w:bidi="en-US"/>
                </w:rPr>
                <w:t>.</w:t>
              </w:r>
              <w:r>
                <w:rPr>
                  <w:rFonts w:ascii="Calibri" w:hAnsi="Calibri"/>
                  <w:color w:val="282828"/>
                  <w:lang w:bidi="en-US"/>
                </w:rPr>
                <w:t xml:space="preserve"> </w:t>
              </w:r>
              <w:r>
                <w:rPr>
                  <w:rFonts w:ascii="Calibri" w:hAnsi="Calibri"/>
                  <w:i/>
                  <w:color w:val="282828"/>
                  <w:lang w:bidi="en-US"/>
                </w:rPr>
                <w:t>Microorganisms</w:t>
              </w:r>
              <w:r w:rsidRPr="002F1222">
                <w:rPr>
                  <w:rFonts w:ascii="Calibri" w:hAnsi="Calibri"/>
                  <w:b/>
                  <w:color w:val="282828"/>
                  <w:lang w:bidi="en-US"/>
                </w:rPr>
                <w:t xml:space="preserve"> </w:t>
              </w:r>
              <w:r>
                <w:rPr>
                  <w:rFonts w:ascii="Calibri" w:hAnsi="Calibri"/>
                  <w:color w:val="282828"/>
                  <w:lang w:bidi="en-US"/>
                </w:rPr>
                <w:t>(Accepted)</w:t>
              </w:r>
            </w:p>
            <w:p w14:paraId="218C004B" w14:textId="1275E154" w:rsidR="0002573A" w:rsidRPr="00133EC7" w:rsidRDefault="0002573A" w:rsidP="00133EC7">
              <w:pPr>
                <w:shd w:val="clear" w:color="auto" w:fill="FFFFFF"/>
                <w:spacing w:before="240"/>
                <w:divId w:val="1610351684"/>
                <w:rPr>
                  <w:rFonts w:ascii="Calibri" w:hAnsi="Calibri"/>
                  <w:color w:val="282828"/>
                </w:rPr>
              </w:pPr>
              <w:r>
                <w:rPr>
                  <w:rFonts w:ascii="Calibri" w:hAnsi="Calibri"/>
                  <w:color w:val="282828"/>
                </w:rPr>
                <w:t xml:space="preserve">[4] </w:t>
              </w:r>
              <w:r w:rsidRPr="001B502B">
                <w:rPr>
                  <w:rFonts w:ascii="Calibri" w:hAnsi="Calibri"/>
                  <w:color w:val="282828"/>
                </w:rPr>
                <w:t>Loughlin P.C., Duxbury Z., Mukasa Mugerwa T.T., Smith P.M.C., Willows R.D. and Chen M.</w:t>
              </w:r>
              <w:r>
                <w:rPr>
                  <w:rFonts w:ascii="Calibri" w:hAnsi="Calibri"/>
                  <w:color w:val="282828"/>
                </w:rPr>
                <w:t xml:space="preserve"> (2016)</w:t>
              </w:r>
              <w:r w:rsidRPr="001B502B">
                <w:rPr>
                  <w:rFonts w:ascii="Calibri" w:hAnsi="Calibri"/>
                  <w:color w:val="282828"/>
                </w:rPr>
                <w:t xml:space="preserve"> </w:t>
              </w:r>
              <w:r w:rsidRPr="002631EE">
                <w:rPr>
                  <w:rFonts w:ascii="Calibri" w:hAnsi="Calibri"/>
                  <w:b/>
                  <w:color w:val="282828"/>
                </w:rPr>
                <w:t>Spectral properties of bacteriophytochrome AM1_5894 in the chlorophyll d-containing cyanobacterium Acaryochloris marina</w:t>
              </w:r>
              <w:r>
                <w:rPr>
                  <w:rFonts w:ascii="Calibri" w:hAnsi="Calibri"/>
                  <w:b/>
                  <w:color w:val="282828"/>
                </w:rPr>
                <w:t xml:space="preserve">. </w:t>
              </w:r>
              <w:r w:rsidRPr="000934EC">
                <w:rPr>
                  <w:rFonts w:ascii="Calibri" w:hAnsi="Calibri"/>
                  <w:i/>
                  <w:iCs/>
                  <w:color w:val="282828"/>
                </w:rPr>
                <w:t>Scientific Reports</w:t>
              </w:r>
              <w:r>
                <w:rPr>
                  <w:rFonts w:ascii="Calibri" w:hAnsi="Calibri"/>
                  <w:i/>
                  <w:iCs/>
                  <w:color w:val="282828"/>
                </w:rPr>
                <w:t xml:space="preserve">. </w:t>
              </w:r>
              <w:r>
                <w:rPr>
                  <w:rFonts w:ascii="Calibri" w:hAnsi="Calibri"/>
                  <w:iCs/>
                  <w:color w:val="282828"/>
                </w:rPr>
                <w:t>6, 27547</w:t>
              </w:r>
            </w:p>
            <w:p w14:paraId="12F40CAC" w14:textId="4D4F0488" w:rsidR="0002573A" w:rsidRPr="00E447DE" w:rsidRDefault="0002573A" w:rsidP="0002573A">
              <w:pPr>
                <w:divId w:val="1610351684"/>
                <w:rPr>
                  <w:rFonts w:ascii="Calibri" w:hAnsi="Calibri"/>
                  <w:lang w:val="en-US"/>
                </w:rPr>
              </w:pPr>
              <w:r>
                <w:rPr>
                  <w:rFonts w:ascii="Calibri" w:hAnsi="Calibri"/>
                  <w:lang w:val="en-US"/>
                </w:rPr>
                <w:t>[5] Li Y.,</w:t>
              </w:r>
              <w:r w:rsidRPr="00E447DE">
                <w:rPr>
                  <w:rFonts w:ascii="Calibri" w:hAnsi="Calibri"/>
                  <w:lang w:val="en-US"/>
                </w:rPr>
                <w:t xml:space="preserve"> Lin</w:t>
              </w:r>
              <w:r>
                <w:rPr>
                  <w:rFonts w:ascii="Calibri" w:hAnsi="Calibri"/>
                  <w:lang w:val="en-US"/>
                </w:rPr>
                <w:t xml:space="preserve"> Y.,</w:t>
              </w:r>
              <w:r w:rsidRPr="00E447DE">
                <w:rPr>
                  <w:rFonts w:ascii="Calibri" w:hAnsi="Calibri"/>
                  <w:lang w:val="en-US"/>
                </w:rPr>
                <w:t xml:space="preserve"> Garvey </w:t>
              </w:r>
              <w:r>
                <w:rPr>
                  <w:rFonts w:ascii="Calibri" w:hAnsi="Calibri"/>
                  <w:lang w:val="en-US"/>
                </w:rPr>
                <w:t xml:space="preserve">C.J., </w:t>
              </w:r>
              <w:r w:rsidRPr="00E447DE">
                <w:rPr>
                  <w:rFonts w:ascii="Calibri" w:hAnsi="Calibri"/>
                  <w:lang w:val="en-US"/>
                </w:rPr>
                <w:t>Birch</w:t>
              </w:r>
              <w:r>
                <w:rPr>
                  <w:rFonts w:ascii="Calibri" w:hAnsi="Calibri"/>
                  <w:lang w:val="en-US"/>
                </w:rPr>
                <w:t xml:space="preserve"> D.,</w:t>
              </w:r>
              <w:r w:rsidRPr="00E447DE">
                <w:rPr>
                  <w:rFonts w:ascii="Calibri" w:hAnsi="Calibri"/>
                  <w:lang w:val="en-US"/>
                </w:rPr>
                <w:t xml:space="preserve"> Corkery</w:t>
              </w:r>
              <w:r>
                <w:rPr>
                  <w:rFonts w:ascii="Calibri" w:hAnsi="Calibri"/>
                  <w:lang w:val="en-US"/>
                </w:rPr>
                <w:t xml:space="preserve"> R.W.,</w:t>
              </w:r>
              <w:r w:rsidRPr="00E447DE">
                <w:rPr>
                  <w:rFonts w:ascii="Calibri" w:hAnsi="Calibri"/>
                  <w:lang w:val="en-US"/>
                </w:rPr>
                <w:t xml:space="preserve"> Loughlin </w:t>
              </w:r>
              <w:r>
                <w:rPr>
                  <w:rFonts w:ascii="Calibri" w:hAnsi="Calibri"/>
                  <w:lang w:val="en-US"/>
                </w:rPr>
                <w:t>P.C.,</w:t>
              </w:r>
              <w:r w:rsidRPr="00E447DE">
                <w:rPr>
                  <w:rFonts w:ascii="Calibri" w:hAnsi="Calibri"/>
                  <w:lang w:val="en-US"/>
                </w:rPr>
                <w:t xml:space="preserve"> Scheer </w:t>
              </w:r>
              <w:r>
                <w:rPr>
                  <w:rFonts w:ascii="Calibri" w:hAnsi="Calibri"/>
                  <w:lang w:val="en-US"/>
                </w:rPr>
                <w:t xml:space="preserve">H., </w:t>
              </w:r>
              <w:r w:rsidRPr="00E447DE">
                <w:rPr>
                  <w:rFonts w:ascii="Calibri" w:hAnsi="Calibri"/>
                  <w:lang w:val="en-US"/>
                </w:rPr>
                <w:t xml:space="preserve">Willows </w:t>
              </w:r>
              <w:r>
                <w:rPr>
                  <w:rFonts w:ascii="Calibri" w:hAnsi="Calibri"/>
                  <w:lang w:val="en-US"/>
                </w:rPr>
                <w:t xml:space="preserve">R.D., </w:t>
              </w:r>
              <w:r w:rsidRPr="00E447DE">
                <w:rPr>
                  <w:rFonts w:ascii="Calibri" w:hAnsi="Calibri"/>
                  <w:lang w:val="en-US"/>
                </w:rPr>
                <w:t>Chen</w:t>
              </w:r>
              <w:r>
                <w:rPr>
                  <w:rFonts w:ascii="Calibri" w:hAnsi="Calibri"/>
                  <w:lang w:val="en-US"/>
                </w:rPr>
                <w:t xml:space="preserve"> M. (2015) </w:t>
              </w:r>
              <w:r w:rsidRPr="00E447DE">
                <w:rPr>
                  <w:rFonts w:ascii="Calibri" w:hAnsi="Calibri" w:cs="Helvetica"/>
                  <w:b/>
                </w:rPr>
                <w:t>Characterization of red-shifted phycobilisomes isolated from the chlorophyll f-containing cyanobacterium Halomicronema hongdechloris</w:t>
              </w:r>
              <w:r>
                <w:rPr>
                  <w:rFonts w:ascii="Calibri" w:hAnsi="Calibri" w:cs="Helvetica"/>
                  <w:b/>
                </w:rPr>
                <w:t xml:space="preserve">. </w:t>
              </w:r>
              <w:r>
                <w:rPr>
                  <w:rFonts w:ascii="Calibri" w:hAnsi="Calibri" w:cs="Helvetica"/>
                  <w:i/>
                </w:rPr>
                <w:t xml:space="preserve">Biochimica et Biophysica </w:t>
              </w:r>
              <w:r>
                <w:rPr>
                  <w:rFonts w:ascii="Calibri" w:hAnsi="Calibri" w:cs="Helvetica"/>
                </w:rPr>
                <w:t>doi</w:t>
              </w:r>
              <w:r w:rsidRPr="00E447DE">
                <w:rPr>
                  <w:rFonts w:ascii="Calibri" w:hAnsi="Calibri" w:cs="Helvetica"/>
                </w:rPr>
                <w:t>: 10.1016/j.bbabio.2015.10.009</w:t>
              </w:r>
            </w:p>
            <w:p w14:paraId="3FB21AD3" w14:textId="77777777" w:rsidR="00403C90" w:rsidRPr="00133EC7" w:rsidRDefault="00403C90">
              <w:pPr>
                <w:divId w:val="1610351684"/>
                <w:rPr>
                  <w:rFonts w:eastAsia="Times New Roman"/>
                  <w:noProof/>
                  <w:lang w:val="en-US"/>
                </w:rPr>
              </w:pPr>
            </w:p>
            <w:p w14:paraId="2C9DA3AE" w14:textId="270F7E76" w:rsidR="00403C90" w:rsidRDefault="00403C90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64CC42A9" w14:textId="77777777" w:rsidR="007C5FCA" w:rsidRDefault="007C5FCA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5459D356" w14:textId="77777777" w:rsidR="007C5FCA" w:rsidRDefault="007C5FCA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41ECDB73" w14:textId="77777777" w:rsidR="007C5FCA" w:rsidRDefault="007C5FCA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6C76BA9A" w14:textId="150D7FCF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iCs/>
          <w:sz w:val="24"/>
        </w:rPr>
        <w:lastRenderedPageBreak/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21E18A0D" w14:textId="5A55ECFC" w:rsidR="00B3082B" w:rsidRDefault="002626EF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</w:rPr>
        <w:drawing>
          <wp:inline distT="0" distB="0" distL="0" distR="0" wp14:anchorId="2D717257" wp14:editId="44469032">
            <wp:extent cx="1270000" cy="1625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324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9E1F9" w14:textId="7CAB608A" w:rsidR="00B3082B" w:rsidRPr="002626EF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9" w:history="1">
        <w:r w:rsidR="002626EF" w:rsidRPr="00DB3FB1">
          <w:rPr>
            <w:rStyle w:val="Hyperlink"/>
            <w:rFonts w:ascii="Times New Roman" w:hAnsi="Times New Roman" w:cs="Times New Roman"/>
            <w:iCs/>
            <w:sz w:val="24"/>
          </w:rPr>
          <w:t>sean.kinsella@pmd-solutions.com</w:t>
        </w:r>
      </w:hyperlink>
      <w:r w:rsidR="002626EF">
        <w:rPr>
          <w:rFonts w:ascii="Times New Roman" w:hAnsi="Times New Roman" w:cs="Times New Roman"/>
          <w:iCs/>
          <w:sz w:val="24"/>
        </w:rPr>
        <w:t xml:space="preserve"> </w:t>
      </w:r>
    </w:p>
    <w:p w14:paraId="2DEBAE4E" w14:textId="642750B8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458AC259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25DD6" w14:textId="77777777" w:rsidR="005A5E28" w:rsidRDefault="005A5E28" w:rsidP="00495C76">
      <w:pPr>
        <w:spacing w:after="0" w:line="240" w:lineRule="auto"/>
      </w:pPr>
      <w:r>
        <w:separator/>
      </w:r>
    </w:p>
  </w:endnote>
  <w:endnote w:type="continuationSeparator" w:id="0">
    <w:p w14:paraId="00823F63" w14:textId="77777777" w:rsidR="005A5E28" w:rsidRDefault="005A5E2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Sylfaen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566E0" w14:textId="77777777" w:rsidR="005A5E28" w:rsidRDefault="005A5E28" w:rsidP="00495C76">
      <w:pPr>
        <w:spacing w:after="0" w:line="240" w:lineRule="auto"/>
      </w:pPr>
      <w:r>
        <w:separator/>
      </w:r>
    </w:p>
  </w:footnote>
  <w:footnote w:type="continuationSeparator" w:id="0">
    <w:p w14:paraId="5DBB7CE4" w14:textId="77777777" w:rsidR="005A5E28" w:rsidRDefault="005A5E2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FE2F6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78033E80" wp14:editId="2F819ED3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82D302" w14:textId="77777777"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41C1F"/>
    <w:multiLevelType w:val="hybridMultilevel"/>
    <w:tmpl w:val="32F2F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2573A"/>
    <w:rsid w:val="000A4C22"/>
    <w:rsid w:val="00133EC7"/>
    <w:rsid w:val="002350BC"/>
    <w:rsid w:val="002626EF"/>
    <w:rsid w:val="0028059F"/>
    <w:rsid w:val="002F4DF0"/>
    <w:rsid w:val="00333E31"/>
    <w:rsid w:val="00336B4C"/>
    <w:rsid w:val="003803D1"/>
    <w:rsid w:val="0038483D"/>
    <w:rsid w:val="00403C90"/>
    <w:rsid w:val="00435234"/>
    <w:rsid w:val="00470C69"/>
    <w:rsid w:val="00495C76"/>
    <w:rsid w:val="004F0EF8"/>
    <w:rsid w:val="005A5E28"/>
    <w:rsid w:val="00627419"/>
    <w:rsid w:val="006726E9"/>
    <w:rsid w:val="006C057D"/>
    <w:rsid w:val="007C5FCA"/>
    <w:rsid w:val="0088077F"/>
    <w:rsid w:val="00B3082B"/>
    <w:rsid w:val="00B6703B"/>
    <w:rsid w:val="00BA654F"/>
    <w:rsid w:val="00CE511D"/>
    <w:rsid w:val="00DF04E3"/>
    <w:rsid w:val="00EC2CCD"/>
    <w:rsid w:val="00FA338F"/>
    <w:rsid w:val="00FD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1269FF"/>
  <w15:docId w15:val="{A4168B26-2F52-9A4A-8F07-8D5CD49A7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03C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403C90"/>
    <w:rPr>
      <w:rFonts w:ascii="Times New Roman" w:eastAsia="Times New Roman" w:hAnsi="Times New Roman" w:cs="Times New Roman"/>
      <w:b/>
      <w:bCs/>
      <w:kern w:val="36"/>
      <w:sz w:val="48"/>
      <w:szCs w:val="48"/>
      <w:lang w:val="en-IE"/>
    </w:rPr>
  </w:style>
  <w:style w:type="character" w:styleId="Emphasis">
    <w:name w:val="Emphasis"/>
    <w:basedOn w:val="DefaultParagraphFont"/>
    <w:uiPriority w:val="20"/>
    <w:qFormat/>
    <w:rsid w:val="00403C90"/>
    <w:rPr>
      <w:i/>
      <w:iCs/>
    </w:rPr>
  </w:style>
  <w:style w:type="character" w:customStyle="1" w:styleId="apple-converted-space">
    <w:name w:val="apple-converted-space"/>
    <w:basedOn w:val="DefaultParagraphFont"/>
    <w:rsid w:val="00403C90"/>
  </w:style>
  <w:style w:type="character" w:styleId="Hyperlink">
    <w:name w:val="Hyperlink"/>
    <w:basedOn w:val="DefaultParagraphFont"/>
    <w:uiPriority w:val="99"/>
    <w:unhideWhenUsed/>
    <w:rsid w:val="00403C90"/>
    <w:rPr>
      <w:color w:val="0000FF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403C90"/>
  </w:style>
  <w:style w:type="character" w:styleId="UnresolvedMention">
    <w:name w:val="Unresolved Mention"/>
    <w:basedOn w:val="DefaultParagraphFont"/>
    <w:uiPriority w:val="99"/>
    <w:semiHidden/>
    <w:unhideWhenUsed/>
    <w:rsid w:val="00262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an.kinsella@pmd-solu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>
  <b:Source>
    <b:Tag>Sub184</b:Tag>
    <b:SourceType>JournalArticle</b:SourceType>
    <b:Guid>{156AC5C0-23E6-2941-A581-0384F0DF0213}</b:Guid>
    <b:Title>Continuous Monitoring of Respiratory Rate in Emergency Admissions: Evaluation of the RespiraSense™ Sensor in Acute Care Compared to the Industry Standard and Gold Standard</b:Title>
    <b:Year>2018</b:Year>
    <b:JournalName>Sensors</b:JournalName>
    <b:Volume>18</b:Volume>
    <b:Issue>8</b:Issue>
    <b:Pages>2700</b:Pages>
    <b:Author>
      <b:Author>
        <b:NameList>
          <b:Person>
            <b:Last>Subbe</b:Last>
            <b:Middle>P</b:Middle>
            <b:First>Chris</b:First>
          </b:Person>
          <b:Person>
            <b:Last>Kinsella</b:Last>
            <b:Middle>H</b:Middle>
            <b:First>Sean</b:First>
          </b:Person>
        </b:NameList>
      </b:Author>
    </b:Author>
    <b:RefOrder>1</b:RefOrder>
  </b:Source>
  <b:Source>
    <b:Tag>Lou181</b:Tag>
    <b:SourceType>JournalArticle</b:SourceType>
    <b:Guid>{250B3981-51B2-754E-9906-9A86C13A16A6}</b:Guid>
    <b:Title>Respiratory Rate: The Forgotten Vital Sign - Make It Count!</b:Title>
    <b:JournalName>The Joint Commission Journal on Quality and Patient Safety</b:JournalName>
    <b:Year>2018</b:Year>
    <b:Volume>44</b:Volume>
    <b:Issue>44</b:Issue>
    <b:Pages>494-499</b:Pages>
    <b:Author>
      <b:Author>
        <b:NameList>
          <b:Person>
            <b:Last>Loughlin</b:Last>
            <b:Middle>C</b:Middle>
            <b:First>Patrick</b:First>
          </b:Person>
          <b:Person>
            <b:Last>Sebat</b:Last>
            <b:First>Frank</b:First>
          </b:Person>
          <b:Person>
            <b:Last>Kellett</b:Last>
            <b:Middle>G</b:Middle>
            <b:First>John</b:Fir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A883108C-B456-D946-B650-5D3960A42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Seán Kinsella</cp:lastModifiedBy>
  <cp:revision>2</cp:revision>
  <dcterms:created xsi:type="dcterms:W3CDTF">2018-09-26T12:40:00Z</dcterms:created>
  <dcterms:modified xsi:type="dcterms:W3CDTF">2018-09-26T12:40:00Z</dcterms:modified>
</cp:coreProperties>
</file>