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B71A14" w:rsidP="00B71A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bookmarkStart w:id="0" w:name="_GoBack"/>
      <w:r w:rsidRPr="00B71A14">
        <w:rPr>
          <w:rFonts w:ascii="Times New Roman" w:eastAsia="Times New Roman" w:hAnsi="Times New Roman" w:cs="Times New Roman"/>
          <w:noProof/>
          <w:sz w:val="25"/>
          <w:szCs w:val="25"/>
          <w:lang w:val="en-US" w:bidi="fa-IR"/>
        </w:rPr>
        <w:drawing>
          <wp:inline distT="0" distB="0" distL="0" distR="0">
            <wp:extent cx="1206703" cy="1241934"/>
            <wp:effectExtent l="19050" t="0" r="0" b="0"/>
            <wp:docPr id="4" name="Picture 1" descr="C:\Documents and Settings\Parmis\Desktop\Russian Conference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armis\Desktop\Russian Conference\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493" cy="125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570857" w:rsidRPr="00FE2782" w:rsidRDefault="00FC37DB" w:rsidP="00A67B2F">
      <w:pPr>
        <w:pStyle w:val="Heading2"/>
        <w:rPr>
          <w:rFonts w:asciiTheme="majorBidi" w:hAnsiTheme="majorBidi"/>
          <w:b/>
          <w:bCs/>
          <w:sz w:val="28"/>
          <w:szCs w:val="28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570857">
        <w:rPr>
          <w:rFonts w:eastAsia="Times New Roman"/>
          <w:b/>
          <w:color w:val="auto"/>
          <w:lang w:eastAsia="en-IN"/>
        </w:rPr>
        <w:t xml:space="preserve"> </w:t>
      </w:r>
      <w:r w:rsidR="00570857" w:rsidRPr="00570857">
        <w:rPr>
          <w:rFonts w:asciiTheme="majorBidi" w:hAnsiTheme="majorBidi"/>
          <w:b/>
          <w:bCs/>
          <w:color w:val="auto"/>
        </w:rPr>
        <w:t>1-Buthyl - 3- methyl imidazolium Hydrogen Sulfate Ionic Liquid as a</w:t>
      </w:r>
      <w:r w:rsidR="00A67B2F">
        <w:rPr>
          <w:rFonts w:asciiTheme="majorBidi" w:hAnsiTheme="majorBidi"/>
          <w:b/>
          <w:bCs/>
          <w:color w:val="auto"/>
        </w:rPr>
        <w:t xml:space="preserve">n </w:t>
      </w:r>
      <w:r w:rsidR="00570857" w:rsidRPr="00570857">
        <w:rPr>
          <w:rFonts w:asciiTheme="majorBidi" w:hAnsiTheme="majorBidi"/>
          <w:b/>
          <w:bCs/>
          <w:color w:val="auto"/>
        </w:rPr>
        <w:t xml:space="preserve">Efficient </w:t>
      </w:r>
      <w:r w:rsidR="00A67B2F">
        <w:rPr>
          <w:rFonts w:asciiTheme="majorBidi" w:hAnsiTheme="majorBidi"/>
          <w:b/>
          <w:bCs/>
          <w:color w:val="auto"/>
        </w:rPr>
        <w:t xml:space="preserve">and Reusable </w:t>
      </w:r>
      <w:r w:rsidR="00570857" w:rsidRPr="00570857">
        <w:rPr>
          <w:rFonts w:asciiTheme="majorBidi" w:hAnsiTheme="majorBidi"/>
          <w:b/>
          <w:bCs/>
          <w:color w:val="auto"/>
        </w:rPr>
        <w:t>Catalyst for the Synthesis of 5-Substituted 1H-Tetrazoles</w:t>
      </w:r>
      <w:r w:rsidR="00570857" w:rsidRPr="00FA204D">
        <w:rPr>
          <w:rFonts w:asciiTheme="majorBidi" w:hAnsiTheme="majorBidi"/>
          <w:b/>
          <w:bCs/>
          <w:sz w:val="28"/>
          <w:szCs w:val="28"/>
        </w:rPr>
        <w:t xml:space="preserve"> </w:t>
      </w:r>
    </w:p>
    <w:p w:rsidR="00FC37DB" w:rsidRPr="004A0988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57085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Abbas Amini Manesh</w:t>
      </w:r>
    </w:p>
    <w:p w:rsidR="00FC37DB" w:rsidRPr="00570857" w:rsidRDefault="00FC37DB" w:rsidP="005708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570857">
        <w:rPr>
          <w:rFonts w:asciiTheme="majorBidi" w:hAnsiTheme="majorBidi" w:cstheme="majorBidi"/>
          <w:i/>
          <w:color w:val="0070C0"/>
          <w:sz w:val="24"/>
          <w:szCs w:val="24"/>
        </w:rPr>
        <w:t xml:space="preserve"> </w:t>
      </w:r>
      <w:r w:rsidR="00570857" w:rsidRPr="00570857">
        <w:rPr>
          <w:rFonts w:asciiTheme="majorBidi" w:hAnsiTheme="majorBidi" w:cstheme="majorBidi"/>
          <w:i/>
          <w:color w:val="0070C0"/>
          <w:sz w:val="24"/>
          <w:szCs w:val="24"/>
        </w:rPr>
        <w:t>Department of Chemistry, Payame Noor Universtiy, P. O. Box 19395-3697, Tehran, I. R. of Iran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570857" w:rsidRPr="00570857">
        <w:rPr>
          <w:rFonts w:asciiTheme="majorBidi" w:hAnsiTheme="majorBidi" w:cstheme="majorBidi"/>
          <w:i/>
          <w:color w:val="0070C0"/>
          <w:sz w:val="24"/>
          <w:szCs w:val="24"/>
        </w:rPr>
        <w:t xml:space="preserve"> Payame Noor Universtiy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4871DC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57085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IRAN</w:t>
      </w:r>
    </w:p>
    <w:p w:rsid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</w:p>
    <w:p w:rsidR="00FC37DB" w:rsidRPr="00794EA4" w:rsidRDefault="00794EA4" w:rsidP="005708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Category: (Poster presentation)</w:t>
      </w:r>
    </w:p>
    <w:p w:rsidR="002E4748" w:rsidRPr="00053290" w:rsidRDefault="006829C9" w:rsidP="00053290">
      <w:pPr>
        <w:pStyle w:val="Heading1"/>
        <w:jc w:val="both"/>
        <w:rPr>
          <w:rFonts w:asciiTheme="majorBidi" w:hAnsiTheme="majorBidi"/>
          <w:color w:val="auto"/>
          <w:sz w:val="25"/>
          <w:szCs w:val="25"/>
          <w:rtl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="002E4748">
        <w:rPr>
          <w:rFonts w:eastAsia="Times New Roman"/>
          <w:u w:val="single"/>
          <w:lang w:eastAsia="en-IN"/>
        </w:rPr>
        <w:t xml:space="preserve"> </w:t>
      </w:r>
      <w:r w:rsidR="002E4748">
        <w:rPr>
          <w:rFonts w:asciiTheme="majorBidi" w:hAnsiTheme="majorBidi"/>
          <w:sz w:val="25"/>
          <w:szCs w:val="25"/>
        </w:rPr>
        <w:t xml:space="preserve"> 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Tetrazoles which </w:t>
      </w:r>
      <w:r w:rsidR="002E4748" w:rsidRPr="00053290">
        <w:rPr>
          <w:rFonts w:asciiTheme="majorBidi" w:eastAsia="AdvGulliv-R" w:hAnsiTheme="majorBidi"/>
          <w:color w:val="auto"/>
          <w:sz w:val="25"/>
          <w:szCs w:val="25"/>
        </w:rPr>
        <w:t>containing four contiguous nitrogen atoms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 are one of the most stable nitrogen heterocyclic compounds among other heterocyclic systems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>1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>,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 xml:space="preserve"> 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however they not generally found in nature 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>2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>. Recently, tetrazoles are receiving much interest due to their important role in many fields. Tetrazoles show a wide range of applications in materials science,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 xml:space="preserve"> 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medicinal chemistry 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>3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, photography 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>4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, agriculture, 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>5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 and as components of explosives.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>6</w:t>
      </w:r>
      <w:r w:rsidR="002E4748" w:rsidRPr="00053290">
        <w:rPr>
          <w:rFonts w:asciiTheme="majorBidi" w:hAnsiTheme="majorBidi"/>
          <w:color w:val="auto"/>
          <w:sz w:val="25"/>
          <w:szCs w:val="25"/>
        </w:rPr>
        <w:t xml:space="preserve"> Ionic liquids (ILs) are a type of organic salts which are liquid at or near room temperature. Most of the ionic liquids are generally composed of a large asymmetric organic cation and either an organic or inorganic anion.</w:t>
      </w:r>
      <w:r w:rsidR="002E4748" w:rsidRPr="00053290">
        <w:rPr>
          <w:rFonts w:asciiTheme="majorBidi" w:hAnsiTheme="majorBidi"/>
          <w:color w:val="auto"/>
          <w:sz w:val="25"/>
          <w:szCs w:val="25"/>
          <w:vertAlign w:val="superscript"/>
        </w:rPr>
        <w:t>7</w:t>
      </w:r>
      <w:r w:rsidR="00053290" w:rsidRPr="00053290">
        <w:rPr>
          <w:rFonts w:asciiTheme="majorBidi" w:hAnsiTheme="majorBidi"/>
          <w:color w:val="auto"/>
          <w:sz w:val="25"/>
          <w:szCs w:val="25"/>
        </w:rPr>
        <w:t xml:space="preserve"> </w:t>
      </w:r>
    </w:p>
    <w:p w:rsidR="00053290" w:rsidRPr="00053290" w:rsidRDefault="00053290" w:rsidP="00053290">
      <w:pPr>
        <w:jc w:val="both"/>
        <w:rPr>
          <w:rFonts w:asciiTheme="majorBidi" w:hAnsiTheme="majorBidi" w:cstheme="majorBidi"/>
          <w:sz w:val="25"/>
          <w:szCs w:val="25"/>
          <w:rtl/>
        </w:rPr>
      </w:pPr>
      <w:r w:rsidRPr="00053290">
        <w:rPr>
          <w:rFonts w:asciiTheme="majorBidi" w:hAnsiTheme="majorBidi" w:cstheme="majorBidi"/>
          <w:color w:val="000000"/>
          <w:sz w:val="25"/>
          <w:szCs w:val="25"/>
        </w:rPr>
        <w:t>In continuation of our research in the development of new synthetic methodology,</w:t>
      </w:r>
      <w:r w:rsidRPr="00053290">
        <w:rPr>
          <w:rFonts w:asciiTheme="majorBidi" w:hAnsiTheme="majorBidi" w:cstheme="majorBidi"/>
          <w:sz w:val="25"/>
          <w:szCs w:val="25"/>
          <w:vertAlign w:val="superscript"/>
        </w:rPr>
        <w:t>8</w:t>
      </w:r>
      <w:r w:rsidRPr="00053290">
        <w:rPr>
          <w:rFonts w:asciiTheme="majorBidi" w:hAnsiTheme="majorBidi" w:cstheme="majorBidi"/>
          <w:color w:val="0080AE"/>
          <w:sz w:val="25"/>
          <w:szCs w:val="25"/>
        </w:rPr>
        <w:t xml:space="preserve"> </w:t>
      </w:r>
      <w:r w:rsidRPr="00053290">
        <w:rPr>
          <w:rFonts w:asciiTheme="majorBidi" w:hAnsiTheme="majorBidi" w:cstheme="majorBidi"/>
          <w:color w:val="000000"/>
          <w:sz w:val="25"/>
          <w:szCs w:val="25"/>
        </w:rPr>
        <w:t xml:space="preserve">herein we wish to report a </w:t>
      </w:r>
      <w:r w:rsidRPr="00053290">
        <w:rPr>
          <w:rFonts w:asciiTheme="majorBidi" w:hAnsiTheme="majorBidi" w:cstheme="majorBidi"/>
          <w:sz w:val="25"/>
          <w:szCs w:val="25"/>
        </w:rPr>
        <w:t xml:space="preserve">simple and efficient method for the synthesis of 5-substituted 1H-tetrazoles by reaction of organic </w:t>
      </w:r>
      <w:r w:rsidRPr="00053290">
        <w:rPr>
          <w:rFonts w:asciiTheme="majorBidi" w:hAnsiTheme="majorBidi" w:cstheme="majorBidi"/>
          <w:color w:val="000000"/>
          <w:sz w:val="25"/>
          <w:szCs w:val="25"/>
        </w:rPr>
        <w:t>nitriles and sodium azide</w:t>
      </w:r>
      <w:r w:rsidRPr="00053290">
        <w:rPr>
          <w:rFonts w:asciiTheme="majorBidi" w:hAnsiTheme="majorBidi" w:cstheme="majorBidi"/>
          <w:sz w:val="25"/>
          <w:szCs w:val="25"/>
        </w:rPr>
        <w:t xml:space="preserve"> using 1-buthyl - 3- methyl imidazolium hydrogen sulfate</w:t>
      </w:r>
      <w:r w:rsidRPr="00053290">
        <w:rPr>
          <w:rFonts w:ascii="Times New Roman" w:hAnsi="Times New Roman" w:cs="Times New Roman"/>
          <w:sz w:val="25"/>
          <w:szCs w:val="25"/>
        </w:rPr>
        <w:t>: [bmim]HSO</w:t>
      </w:r>
      <w:r w:rsidRPr="00053290">
        <w:rPr>
          <w:rFonts w:ascii="Times New Roman" w:hAnsi="Times New Roman" w:cs="Times New Roman"/>
          <w:sz w:val="25"/>
          <w:szCs w:val="25"/>
          <w:vertAlign w:val="subscript"/>
        </w:rPr>
        <w:t>4</w:t>
      </w:r>
      <w:r w:rsidRPr="00053290">
        <w:rPr>
          <w:rFonts w:asciiTheme="majorBidi" w:hAnsiTheme="majorBidi" w:cstheme="majorBidi"/>
          <w:sz w:val="25"/>
          <w:szCs w:val="25"/>
        </w:rPr>
        <w:t xml:space="preserve"> ionic liquid as an efficient </w:t>
      </w:r>
      <w:r w:rsidRPr="00053290">
        <w:rPr>
          <w:rFonts w:asciiTheme="majorBidi" w:eastAsia="AdvGulliv-R" w:hAnsiTheme="majorBidi" w:cstheme="majorBidi"/>
          <w:sz w:val="25"/>
          <w:szCs w:val="25"/>
        </w:rPr>
        <w:t xml:space="preserve">and reusable catalyst in DMF, (Scheme 1).                                                                                                                   </w:t>
      </w:r>
    </w:p>
    <w:p w:rsidR="00053290" w:rsidRPr="00FE3D50" w:rsidRDefault="00053290" w:rsidP="00053290">
      <w:pPr>
        <w:jc w:val="center"/>
        <w:rPr>
          <w:rFonts w:asciiTheme="majorBidi" w:hAnsiTheme="majorBidi" w:cstheme="majorBidi"/>
          <w:sz w:val="24"/>
          <w:szCs w:val="24"/>
          <w:rtl/>
        </w:rPr>
      </w:pPr>
      <w:r>
        <w:object w:dxaOrig="8760" w:dyaOrig="14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6.25pt;height:60.75pt" o:ole="">
            <v:imagedata r:id="rId7" o:title=""/>
          </v:shape>
          <o:OLEObject Type="Embed" ProgID="ChemDraw.Document.5.0" ShapeID="_x0000_i1025" DrawAspect="Content" ObjectID="_1588152988" r:id="rId8"/>
        </w:object>
      </w:r>
    </w:p>
    <w:p w:rsidR="00053290" w:rsidRPr="001A3D95" w:rsidRDefault="00053290" w:rsidP="00053290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eastAsia="AdvGulliv-R" w:hAnsiTheme="majorBidi" w:cstheme="majorBidi"/>
          <w:sz w:val="24"/>
          <w:szCs w:val="24"/>
        </w:rPr>
      </w:pPr>
      <w:r w:rsidRPr="001A3D95">
        <w:rPr>
          <w:rFonts w:asciiTheme="majorBidi" w:eastAsia="AdvGulliv-R" w:hAnsiTheme="majorBidi" w:cstheme="majorBidi"/>
          <w:b/>
          <w:bCs/>
          <w:sz w:val="24"/>
          <w:szCs w:val="24"/>
        </w:rPr>
        <w:t>Scheme 1</w:t>
      </w:r>
      <w:r w:rsidRPr="001A3D95">
        <w:rPr>
          <w:rFonts w:asciiTheme="majorBidi" w:eastAsia="AdvGulliv-R" w:hAnsiTheme="majorBidi" w:cstheme="majorBidi"/>
          <w:sz w:val="24"/>
          <w:szCs w:val="24"/>
        </w:rPr>
        <w:t xml:space="preserve">    </w:t>
      </w:r>
    </w:p>
    <w:p w:rsidR="001C3309" w:rsidRDefault="001C3309" w:rsidP="009D6A3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5"/>
          <w:szCs w:val="25"/>
        </w:rPr>
      </w:pPr>
      <w:r w:rsidRPr="00BD141D">
        <w:rPr>
          <w:rFonts w:asciiTheme="majorBidi" w:hAnsiTheme="majorBidi" w:cstheme="majorBidi"/>
          <w:b/>
          <w:bCs/>
          <w:color w:val="AA610D" w:themeColor="accent1" w:themeShade="BF"/>
          <w:sz w:val="25"/>
          <w:szCs w:val="25"/>
        </w:rPr>
        <w:t>Method for separation of the catalyst from aqueous phase: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F23D07" w:rsidRPr="00F23D07">
        <w:rPr>
          <w:rFonts w:asciiTheme="majorBidi" w:eastAsia="AdvGulliv-R" w:hAnsiTheme="majorBidi" w:cstheme="majorBidi"/>
          <w:sz w:val="25"/>
          <w:szCs w:val="25"/>
        </w:rPr>
        <w:t xml:space="preserve">After completion of the reaction (as monitored by TLC), the reaction mixture was cooled to room temperature, and was treated with ethyl acetate (30 mL) and 6 N HCl (20 mL), it </w:t>
      </w:r>
      <w:r w:rsidR="00F23D07" w:rsidRPr="00F23D07">
        <w:rPr>
          <w:rFonts w:asciiTheme="majorBidi" w:hAnsiTheme="majorBidi" w:cstheme="majorBidi"/>
          <w:sz w:val="25"/>
          <w:szCs w:val="25"/>
        </w:rPr>
        <w:t>was stirred for 10 minute. The organic layer was separated, and the aqueous layer was again extracted with EtOAc</w:t>
      </w:r>
      <w:r w:rsidR="00F23D07" w:rsidRPr="00F23D07">
        <w:rPr>
          <w:rFonts w:asciiTheme="majorBidi" w:eastAsia="AdvGulliv-R" w:hAnsiTheme="majorBidi" w:cstheme="majorBidi"/>
          <w:sz w:val="25"/>
          <w:szCs w:val="25"/>
        </w:rPr>
        <w:t xml:space="preserve"> (20 mL). The combined organic layers were dried over anhydrous sodium sulfate </w:t>
      </w:r>
      <w:r w:rsidR="00F23D07" w:rsidRPr="00F23D07">
        <w:rPr>
          <w:rFonts w:asciiTheme="majorBidi" w:eastAsia="AdvGulliv-R" w:hAnsiTheme="majorBidi" w:cstheme="majorBidi"/>
          <w:sz w:val="25"/>
          <w:szCs w:val="25"/>
        </w:rPr>
        <w:lastRenderedPageBreak/>
        <w:t xml:space="preserve">and evaporated under reduced pressure to give </w:t>
      </w:r>
      <w:r w:rsidR="00F23D07">
        <w:rPr>
          <w:rFonts w:asciiTheme="majorBidi" w:hAnsiTheme="majorBidi" w:cstheme="majorBidi"/>
          <w:sz w:val="25"/>
          <w:szCs w:val="25"/>
          <w:lang w:val="en-US"/>
        </w:rPr>
        <w:t>the tetrazole</w:t>
      </w:r>
      <w:r w:rsidR="00F23D07" w:rsidRPr="00F23D07">
        <w:rPr>
          <w:rFonts w:asciiTheme="majorBidi" w:hAnsiTheme="majorBidi" w:cstheme="majorBidi"/>
          <w:sz w:val="25"/>
          <w:szCs w:val="25"/>
        </w:rPr>
        <w:t>.</w:t>
      </w:r>
      <w:r w:rsidR="00F23D07">
        <w:rPr>
          <w:rFonts w:asciiTheme="majorBidi" w:hAnsiTheme="majorBidi" w:cstheme="majorBidi"/>
          <w:sz w:val="25"/>
          <w:szCs w:val="25"/>
        </w:rPr>
        <w:t xml:space="preserve"> </w:t>
      </w:r>
      <w:r w:rsidR="009D6A3C">
        <w:rPr>
          <w:rFonts w:asciiTheme="majorBidi" w:hAnsiTheme="majorBidi" w:cstheme="majorBidi"/>
          <w:color w:val="000000" w:themeColor="text1"/>
          <w:sz w:val="25"/>
          <w:szCs w:val="25"/>
        </w:rPr>
        <w:t>T</w:t>
      </w:r>
      <w:r w:rsidRPr="00F23D07">
        <w:rPr>
          <w:rFonts w:asciiTheme="majorBidi" w:hAnsiTheme="majorBidi" w:cstheme="majorBidi"/>
          <w:color w:val="000000" w:themeColor="text1"/>
          <w:sz w:val="25"/>
          <w:szCs w:val="25"/>
        </w:rPr>
        <w:t xml:space="preserve">he water was removed under </w:t>
      </w:r>
      <w:r w:rsidRPr="00F23D07">
        <w:rPr>
          <w:rFonts w:asciiTheme="majorBidi" w:eastAsia="AdvGulliv-R" w:hAnsiTheme="majorBidi" w:cstheme="majorBidi"/>
          <w:sz w:val="25"/>
          <w:szCs w:val="25"/>
        </w:rPr>
        <w:t>reduced pressure</w:t>
      </w:r>
      <w:r w:rsidR="00F23D07">
        <w:rPr>
          <w:rFonts w:asciiTheme="majorBidi" w:hAnsiTheme="majorBidi" w:cstheme="majorBidi"/>
          <w:color w:val="000000" w:themeColor="text1"/>
          <w:sz w:val="25"/>
          <w:szCs w:val="25"/>
        </w:rPr>
        <w:t xml:space="preserve"> </w:t>
      </w:r>
      <w:r w:rsidR="00F23D07" w:rsidRPr="00F23D07">
        <w:rPr>
          <w:rFonts w:asciiTheme="majorBidi" w:hAnsiTheme="majorBidi" w:cstheme="majorBidi"/>
          <w:color w:val="000000" w:themeColor="text1"/>
          <w:sz w:val="25"/>
          <w:szCs w:val="25"/>
        </w:rPr>
        <w:t>from aqueous phase</w:t>
      </w:r>
      <w:r w:rsidRPr="00F23D07">
        <w:rPr>
          <w:rFonts w:asciiTheme="majorBidi" w:hAnsiTheme="majorBidi" w:cstheme="majorBidi"/>
          <w:color w:val="000000" w:themeColor="text1"/>
          <w:sz w:val="25"/>
          <w:szCs w:val="25"/>
        </w:rPr>
        <w:t xml:space="preserve">, then acetonitrile (20 mL) was added and stirred at 60 </w:t>
      </w:r>
      <w:r w:rsidRPr="00F23D07">
        <w:rPr>
          <w:rFonts w:asciiTheme="majorBidi" w:hAnsiTheme="majorBidi" w:cstheme="majorBidi"/>
          <w:sz w:val="25"/>
          <w:szCs w:val="25"/>
          <w:vertAlign w:val="superscript"/>
        </w:rPr>
        <w:t>ο</w:t>
      </w:r>
      <w:r w:rsidRPr="00F23D07">
        <w:rPr>
          <w:rFonts w:asciiTheme="majorBidi" w:hAnsiTheme="majorBidi" w:cstheme="majorBidi"/>
          <w:sz w:val="25"/>
          <w:szCs w:val="25"/>
        </w:rPr>
        <w:t>C</w:t>
      </w:r>
      <w:r w:rsidRPr="00F23D07">
        <w:rPr>
          <w:rFonts w:asciiTheme="majorBidi" w:hAnsiTheme="majorBidi" w:cstheme="majorBidi"/>
          <w:color w:val="000000" w:themeColor="text1"/>
          <w:sz w:val="25"/>
          <w:szCs w:val="25"/>
        </w:rPr>
        <w:t xml:space="preserve"> for 10 minute, and was filtered. Evaporation of acetonitrile gave pure catalyst (</w:t>
      </w:r>
      <w:r w:rsidRPr="00F23D07">
        <w:rPr>
          <w:rFonts w:ascii="Times New Roman" w:hAnsi="Times New Roman" w:cs="Times New Roman"/>
          <w:sz w:val="25"/>
          <w:szCs w:val="25"/>
        </w:rPr>
        <w:t>[bmim]HSO</w:t>
      </w:r>
      <w:r w:rsidRPr="00F23D07">
        <w:rPr>
          <w:rFonts w:ascii="Times New Roman" w:hAnsi="Times New Roman" w:cs="Times New Roman"/>
          <w:sz w:val="25"/>
          <w:szCs w:val="25"/>
          <w:vertAlign w:val="subscript"/>
        </w:rPr>
        <w:t>4</w:t>
      </w:r>
      <w:r w:rsidRPr="00F23D07">
        <w:rPr>
          <w:rFonts w:asciiTheme="majorBidi" w:hAnsiTheme="majorBidi" w:cstheme="majorBidi"/>
          <w:color w:val="000000" w:themeColor="text1"/>
          <w:sz w:val="25"/>
          <w:szCs w:val="25"/>
        </w:rPr>
        <w:t>) which can be used as least for 2 further  reaction.</w:t>
      </w:r>
    </w:p>
    <w:p w:rsidR="009D6A3C" w:rsidRPr="00F23D07" w:rsidRDefault="009D6A3C" w:rsidP="00F23D07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5"/>
          <w:szCs w:val="25"/>
        </w:rPr>
      </w:pPr>
    </w:p>
    <w:p w:rsidR="009D6A3C" w:rsidRPr="009D6A3C" w:rsidRDefault="009D6A3C" w:rsidP="009D6A3C">
      <w:pPr>
        <w:spacing w:line="360" w:lineRule="auto"/>
        <w:rPr>
          <w:rFonts w:asciiTheme="majorBidi" w:hAnsiTheme="majorBidi" w:cstheme="majorBidi"/>
          <w:sz w:val="25"/>
          <w:szCs w:val="25"/>
          <w:rtl/>
        </w:rPr>
      </w:pPr>
      <w:r w:rsidRPr="009D6A3C">
        <w:rPr>
          <w:rFonts w:asciiTheme="majorBidi" w:hAnsiTheme="majorBidi" w:cstheme="majorBidi"/>
          <w:sz w:val="25"/>
          <w:szCs w:val="25"/>
        </w:rPr>
        <w:t>Table 1 shows the results of the reaction:</w:t>
      </w:r>
    </w:p>
    <w:p w:rsidR="009D6A3C" w:rsidRPr="00725DD9" w:rsidRDefault="009D6A3C" w:rsidP="009D6A3C">
      <w:pPr>
        <w:tabs>
          <w:tab w:val="left" w:pos="5670"/>
        </w:tabs>
        <w:spacing w:after="0" w:line="480" w:lineRule="auto"/>
        <w:rPr>
          <w:rFonts w:ascii="Times New Roman" w:hAnsi="Times New Roman" w:cs="Times New Roman"/>
          <w:sz w:val="25"/>
          <w:szCs w:val="25"/>
        </w:rPr>
      </w:pPr>
      <w:r w:rsidRPr="00725DD9">
        <w:rPr>
          <w:rFonts w:asciiTheme="majorBidi" w:hAnsiTheme="majorBidi" w:cstheme="majorBidi"/>
          <w:b/>
          <w:bCs/>
          <w:sz w:val="25"/>
          <w:szCs w:val="25"/>
        </w:rPr>
        <w:t xml:space="preserve">     Table 1</w:t>
      </w:r>
    </w:p>
    <w:tbl>
      <w:tblPr>
        <w:tblStyle w:val="TableGrid"/>
        <w:bidiVisual/>
        <w:tblW w:w="0" w:type="auto"/>
        <w:tblLook w:val="04A0"/>
      </w:tblPr>
      <w:tblGrid>
        <w:gridCol w:w="905"/>
        <w:gridCol w:w="901"/>
        <w:gridCol w:w="3075"/>
        <w:gridCol w:w="2693"/>
        <w:gridCol w:w="1276"/>
      </w:tblGrid>
      <w:tr w:rsidR="009D6A3C" w:rsidRPr="00756E41" w:rsidTr="00CB22B0">
        <w:trPr>
          <w:trHeight w:val="466"/>
        </w:trPr>
        <w:tc>
          <w:tcPr>
            <w:tcW w:w="905" w:type="dxa"/>
          </w:tcPr>
          <w:p w:rsidR="009D6A3C" w:rsidRPr="007F58EE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rtl/>
              </w:rPr>
            </w:pPr>
            <w:r w:rsidRPr="007F5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Yield (%)</w:t>
            </w:r>
          </w:p>
        </w:tc>
        <w:tc>
          <w:tcPr>
            <w:tcW w:w="901" w:type="dxa"/>
          </w:tcPr>
          <w:p w:rsidR="009D6A3C" w:rsidRPr="007F58EE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(h)</w:t>
            </w:r>
          </w:p>
        </w:tc>
        <w:tc>
          <w:tcPr>
            <w:tcW w:w="3075" w:type="dxa"/>
          </w:tcPr>
          <w:p w:rsidR="009D6A3C" w:rsidRPr="007F58EE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F5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Tetrazoles</w:t>
            </w:r>
          </w:p>
        </w:tc>
        <w:tc>
          <w:tcPr>
            <w:tcW w:w="2693" w:type="dxa"/>
          </w:tcPr>
          <w:p w:rsidR="009D6A3C" w:rsidRPr="007F58EE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F5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Nitriles</w:t>
            </w:r>
          </w:p>
        </w:tc>
        <w:tc>
          <w:tcPr>
            <w:tcW w:w="1276" w:type="dxa"/>
          </w:tcPr>
          <w:p w:rsidR="009D6A3C" w:rsidRPr="007F58EE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F5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Entry</w:t>
            </w:r>
          </w:p>
        </w:tc>
      </w:tr>
      <w:tr w:rsidR="009D6A3C" w:rsidRPr="00756E41" w:rsidTr="00CB22B0">
        <w:trPr>
          <w:trHeight w:val="1088"/>
        </w:trPr>
        <w:tc>
          <w:tcPr>
            <w:tcW w:w="90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1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459" w:dyaOrig="725">
                <v:shape id="_x0000_i1026" type="#_x0000_t75" style="width:72.75pt;height:36pt" o:ole="">
                  <v:imagedata r:id="rId9" o:title=""/>
                </v:shape>
                <o:OLEObject Type="Embed" ProgID="ChemDraw.Document.5.0" ShapeID="_x0000_i1026" DrawAspect="Content" ObjectID="_1588152989" r:id="rId10"/>
              </w:object>
            </w:r>
          </w:p>
        </w:tc>
        <w:tc>
          <w:tcPr>
            <w:tcW w:w="2693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036" w:dyaOrig="715">
                <v:shape id="_x0000_i1027" type="#_x0000_t75" style="width:51.75pt;height:36pt" o:ole="">
                  <v:imagedata r:id="rId11" o:title=""/>
                </v:shape>
                <o:OLEObject Type="Embed" ProgID="ChemDraw.Document.5.0" ShapeID="_x0000_i1027" DrawAspect="Content" ObjectID="_1588152990" r:id="rId12"/>
              </w:object>
            </w:r>
          </w:p>
        </w:tc>
        <w:tc>
          <w:tcPr>
            <w:tcW w:w="1276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1</w:t>
            </w:r>
          </w:p>
        </w:tc>
      </w:tr>
      <w:tr w:rsidR="009D6A3C" w:rsidRPr="00756E41" w:rsidTr="00CB22B0">
        <w:tc>
          <w:tcPr>
            <w:tcW w:w="90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901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920" w:dyaOrig="725">
                <v:shape id="_x0000_i1028" type="#_x0000_t75" style="width:96pt;height:36pt" o:ole="">
                  <v:imagedata r:id="rId13" o:title=""/>
                </v:shape>
                <o:OLEObject Type="Embed" ProgID="ChemDraw.Document.5.0" ShapeID="_x0000_i1028" DrawAspect="Content" ObjectID="_1588152991" r:id="rId14"/>
              </w:object>
            </w:r>
          </w:p>
        </w:tc>
        <w:tc>
          <w:tcPr>
            <w:tcW w:w="2693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462" w:dyaOrig="775">
                <v:shape id="_x0000_i1029" type="#_x0000_t75" style="width:72.75pt;height:39pt" o:ole="">
                  <v:imagedata r:id="rId15" o:title=""/>
                </v:shape>
                <o:OLEObject Type="Embed" ProgID="ChemDraw.Document.5.0" ShapeID="_x0000_i1029" DrawAspect="Content" ObjectID="_1588152992" r:id="rId16"/>
              </w:object>
            </w:r>
          </w:p>
        </w:tc>
        <w:tc>
          <w:tcPr>
            <w:tcW w:w="1276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3</w:t>
            </w:r>
          </w:p>
        </w:tc>
      </w:tr>
      <w:tr w:rsidR="009D6A3C" w:rsidRPr="00756E41" w:rsidTr="00CB22B0">
        <w:tc>
          <w:tcPr>
            <w:tcW w:w="90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901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307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911" w:dyaOrig="725">
                <v:shape id="_x0000_i1030" type="#_x0000_t75" style="width:95.25pt;height:36pt" o:ole="">
                  <v:imagedata r:id="rId17" o:title=""/>
                </v:shape>
                <o:OLEObject Type="Embed" ProgID="ChemDraw.Document.5.0" ShapeID="_x0000_i1030" DrawAspect="Content" ObjectID="_1588152993" r:id="rId18"/>
              </w:object>
            </w:r>
          </w:p>
        </w:tc>
        <w:tc>
          <w:tcPr>
            <w:tcW w:w="2693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452" w:dyaOrig="780">
                <v:shape id="_x0000_i1031" type="#_x0000_t75" style="width:72.75pt;height:39pt" o:ole="">
                  <v:imagedata r:id="rId19" o:title=""/>
                </v:shape>
                <o:OLEObject Type="Embed" ProgID="ChemDraw.Document.5.0" ShapeID="_x0000_i1031" DrawAspect="Content" ObjectID="_1588152994" r:id="rId20"/>
              </w:object>
            </w:r>
          </w:p>
        </w:tc>
        <w:tc>
          <w:tcPr>
            <w:tcW w:w="1276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4</w:t>
            </w:r>
          </w:p>
        </w:tc>
      </w:tr>
      <w:tr w:rsidR="009D6A3C" w:rsidRPr="00756E41" w:rsidTr="00CB22B0">
        <w:tc>
          <w:tcPr>
            <w:tcW w:w="90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1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07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954" w:dyaOrig="725">
                <v:shape id="_x0000_i1032" type="#_x0000_t75" style="width:97.5pt;height:36pt" o:ole="">
                  <v:imagedata r:id="rId21" o:title=""/>
                </v:shape>
                <o:OLEObject Type="Embed" ProgID="ChemDraw.Document.5.0" ShapeID="_x0000_i1032" DrawAspect="Content" ObjectID="_1588152995" r:id="rId22"/>
              </w:object>
            </w:r>
          </w:p>
        </w:tc>
        <w:tc>
          <w:tcPr>
            <w:tcW w:w="2693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251D87">
              <w:object w:dxaOrig="1495" w:dyaOrig="780">
                <v:shape id="_x0000_i1033" type="#_x0000_t75" style="width:75pt;height:39pt" o:ole="">
                  <v:imagedata r:id="rId23" o:title=""/>
                </v:shape>
                <o:OLEObject Type="Embed" ProgID="ChemDraw.Document.5.0" ShapeID="_x0000_i1033" DrawAspect="Content" ObjectID="_1588152996" r:id="rId24"/>
              </w:object>
            </w:r>
          </w:p>
        </w:tc>
        <w:tc>
          <w:tcPr>
            <w:tcW w:w="1276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5</w:t>
            </w:r>
          </w:p>
        </w:tc>
      </w:tr>
      <w:tr w:rsidR="009D6A3C" w:rsidRPr="00756E41" w:rsidTr="00CB22B0">
        <w:tc>
          <w:tcPr>
            <w:tcW w:w="90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01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307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object w:dxaOrig="2040" w:dyaOrig="725">
                <v:shape id="_x0000_i1034" type="#_x0000_t75" style="width:102pt;height:36pt" o:ole="">
                  <v:imagedata r:id="rId25" o:title=""/>
                </v:shape>
                <o:OLEObject Type="Embed" ProgID="ChemDraw.Document.5.0" ShapeID="_x0000_i1034" DrawAspect="Content" ObjectID="_1588152997" r:id="rId26"/>
              </w:object>
            </w:r>
          </w:p>
        </w:tc>
        <w:tc>
          <w:tcPr>
            <w:tcW w:w="2693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object w:dxaOrig="1584" w:dyaOrig="823">
                <v:shape id="_x0000_i1035" type="#_x0000_t75" style="width:79.5pt;height:41.25pt" o:ole="">
                  <v:imagedata r:id="rId27" o:title=""/>
                </v:shape>
                <o:OLEObject Type="Embed" ProgID="ChemDraw.Document.5.0" ShapeID="_x0000_i1035" DrawAspect="Content" ObjectID="_1588152998" r:id="rId28"/>
              </w:object>
            </w:r>
          </w:p>
        </w:tc>
        <w:tc>
          <w:tcPr>
            <w:tcW w:w="1276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8</w:t>
            </w:r>
          </w:p>
        </w:tc>
      </w:tr>
      <w:tr w:rsidR="009D6A3C" w:rsidRPr="00756E41" w:rsidTr="00CB22B0">
        <w:tc>
          <w:tcPr>
            <w:tcW w:w="90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01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3075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object w:dxaOrig="2006" w:dyaOrig="725">
                <v:shape id="_x0000_i1036" type="#_x0000_t75" style="width:100.5pt;height:36pt" o:ole="">
                  <v:imagedata r:id="rId29" o:title=""/>
                </v:shape>
                <o:OLEObject Type="Embed" ProgID="ChemDraw.Document.5.0" ShapeID="_x0000_i1036" DrawAspect="Content" ObjectID="_1588152999" r:id="rId30"/>
              </w:object>
            </w:r>
          </w:p>
        </w:tc>
        <w:tc>
          <w:tcPr>
            <w:tcW w:w="2693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>
              <w:object w:dxaOrig="1551" w:dyaOrig="823">
                <v:shape id="_x0000_i1037" type="#_x0000_t75" style="width:77.25pt;height:41.25pt" o:ole="">
                  <v:imagedata r:id="rId31" o:title=""/>
                </v:shape>
                <o:OLEObject Type="Embed" ProgID="ChemDraw.Document.5.0" ShapeID="_x0000_i1037" DrawAspect="Content" ObjectID="_1588153000" r:id="rId32"/>
              </w:object>
            </w:r>
          </w:p>
        </w:tc>
        <w:tc>
          <w:tcPr>
            <w:tcW w:w="1276" w:type="dxa"/>
          </w:tcPr>
          <w:p w:rsidR="009D6A3C" w:rsidRPr="00756E41" w:rsidRDefault="009D6A3C" w:rsidP="00CB22B0">
            <w:pPr>
              <w:spacing w:line="48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756E41">
              <w:rPr>
                <w:rFonts w:ascii="Times New Roman" w:hAnsi="Times New Roman" w:cs="Times New Roman"/>
              </w:rPr>
              <w:t>9</w:t>
            </w:r>
          </w:p>
        </w:tc>
      </w:tr>
    </w:tbl>
    <w:p w:rsidR="009D6A3C" w:rsidRPr="00FE3D50" w:rsidRDefault="009D6A3C" w:rsidP="009D6A3C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p w:rsidR="009D6A3C" w:rsidRPr="009D6A3C" w:rsidRDefault="009D6A3C" w:rsidP="009D6A3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5"/>
          <w:szCs w:val="25"/>
        </w:rPr>
      </w:pPr>
      <w:r w:rsidRPr="009D6A3C">
        <w:rPr>
          <w:rFonts w:asciiTheme="majorBidi" w:hAnsiTheme="majorBidi" w:cstheme="majorBidi"/>
          <w:b/>
          <w:bCs/>
          <w:color w:val="000000" w:themeColor="text1"/>
          <w:sz w:val="25"/>
          <w:szCs w:val="25"/>
        </w:rPr>
        <w:t>References:</w:t>
      </w:r>
    </w:p>
    <w:p w:rsidR="009D6A3C" w:rsidRPr="009D6A3C" w:rsidRDefault="009D6A3C" w:rsidP="009D6A3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5"/>
          <w:szCs w:val="25"/>
        </w:rPr>
      </w:pPr>
      <w:r w:rsidRPr="009D6A3C">
        <w:rPr>
          <w:rFonts w:asciiTheme="majorBidi" w:hAnsiTheme="majorBidi" w:cstheme="majorBidi"/>
          <w:color w:val="000000" w:themeColor="text1"/>
          <w:sz w:val="25"/>
          <w:szCs w:val="25"/>
        </w:rPr>
        <w:t xml:space="preserve">1. B. Patil, Umakant, R. Kumthekar, Kedar, and M. Nagarkar, Jayashree, </w:t>
      </w:r>
      <w:r w:rsidRPr="009D6A3C">
        <w:rPr>
          <w:rFonts w:asciiTheme="majorBidi" w:hAnsiTheme="majorBidi" w:cstheme="majorBidi"/>
          <w:i/>
          <w:iCs/>
          <w:color w:val="000000" w:themeColor="text1"/>
          <w:sz w:val="25"/>
          <w:szCs w:val="25"/>
        </w:rPr>
        <w:t>Tetrahedron Lett.</w:t>
      </w:r>
      <w:r w:rsidRPr="009D6A3C">
        <w:rPr>
          <w:rFonts w:asciiTheme="majorBidi" w:hAnsiTheme="majorBidi" w:cstheme="majorBidi"/>
          <w:color w:val="000000" w:themeColor="text1"/>
          <w:sz w:val="25"/>
          <w:szCs w:val="25"/>
        </w:rPr>
        <w:t xml:space="preserve"> </w:t>
      </w:r>
      <w:r w:rsidRPr="009D6A3C">
        <w:rPr>
          <w:rFonts w:asciiTheme="majorBidi" w:hAnsiTheme="majorBidi" w:cstheme="majorBidi"/>
          <w:b/>
          <w:bCs/>
          <w:color w:val="000000" w:themeColor="text1"/>
          <w:sz w:val="25"/>
          <w:szCs w:val="25"/>
        </w:rPr>
        <w:t>2012</w:t>
      </w:r>
      <w:r w:rsidRPr="009D6A3C">
        <w:rPr>
          <w:rFonts w:asciiTheme="majorBidi" w:hAnsiTheme="majorBidi" w:cstheme="majorBidi"/>
          <w:color w:val="000000" w:themeColor="text1"/>
          <w:sz w:val="25"/>
          <w:szCs w:val="25"/>
        </w:rPr>
        <w:t>, 53, 3706.</w:t>
      </w:r>
    </w:p>
    <w:p w:rsidR="009D6A3C" w:rsidRPr="009D6A3C" w:rsidRDefault="009D6A3C" w:rsidP="009D6A3C">
      <w:pPr>
        <w:jc w:val="both"/>
        <w:rPr>
          <w:rFonts w:asciiTheme="majorBidi" w:hAnsiTheme="majorBidi" w:cstheme="majorBidi"/>
          <w:color w:val="000000" w:themeColor="text1"/>
          <w:sz w:val="25"/>
          <w:szCs w:val="25"/>
        </w:rPr>
      </w:pPr>
      <w:r w:rsidRPr="009D6A3C">
        <w:rPr>
          <w:rFonts w:asciiTheme="majorBidi" w:hAnsiTheme="majorBidi" w:cstheme="majorBidi"/>
          <w:sz w:val="25"/>
          <w:szCs w:val="25"/>
        </w:rPr>
        <w:t xml:space="preserve">2. P. B. Mohite and V. H. Bhaskar, </w:t>
      </w:r>
      <w:r w:rsidRPr="009D6A3C">
        <w:rPr>
          <w:rFonts w:asciiTheme="majorBidi" w:hAnsiTheme="majorBidi" w:cstheme="majorBidi"/>
          <w:i/>
          <w:iCs/>
          <w:sz w:val="25"/>
          <w:szCs w:val="25"/>
        </w:rPr>
        <w:t>Int. J. Pharm. Tech Res.,</w:t>
      </w:r>
      <w:r w:rsidRPr="009D6A3C">
        <w:rPr>
          <w:rFonts w:asciiTheme="majorBidi" w:hAnsiTheme="majorBidi" w:cstheme="majorBidi"/>
          <w:sz w:val="25"/>
          <w:szCs w:val="25"/>
        </w:rPr>
        <w:t xml:space="preserve">  2001, 3, 1557.</w:t>
      </w:r>
    </w:p>
    <w:p w:rsidR="009D6A3C" w:rsidRPr="009D6A3C" w:rsidRDefault="009D6A3C" w:rsidP="009D6A3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5"/>
          <w:szCs w:val="25"/>
        </w:rPr>
      </w:pPr>
      <w:r w:rsidRPr="009D6A3C">
        <w:rPr>
          <w:rFonts w:asciiTheme="majorBidi" w:hAnsiTheme="majorBidi" w:cstheme="majorBidi"/>
          <w:sz w:val="25"/>
          <w:szCs w:val="25"/>
        </w:rPr>
        <w:t xml:space="preserve">3. R.N. Butler, </w:t>
      </w:r>
      <w:r w:rsidRPr="009D6A3C">
        <w:rPr>
          <w:rFonts w:asciiTheme="majorBidi" w:hAnsiTheme="majorBidi" w:cstheme="majorBidi"/>
          <w:i/>
          <w:iCs/>
          <w:sz w:val="25"/>
          <w:szCs w:val="25"/>
        </w:rPr>
        <w:t>in Comprehensive Heterocyclic Chemistry II</w:t>
      </w:r>
      <w:r w:rsidRPr="009D6A3C">
        <w:rPr>
          <w:rFonts w:asciiTheme="majorBidi" w:hAnsiTheme="majorBidi" w:cstheme="majorBidi"/>
          <w:sz w:val="25"/>
          <w:szCs w:val="25"/>
        </w:rPr>
        <w:t xml:space="preserve">; Katritzky, A. R.; Rees, C.W.; Scriven, E. F. V. Eds., Pergamon Press: Oxford, </w:t>
      </w:r>
      <w:r w:rsidRPr="009D6A3C">
        <w:rPr>
          <w:rFonts w:asciiTheme="majorBidi" w:hAnsiTheme="majorBidi" w:cstheme="majorBidi"/>
          <w:b/>
          <w:bCs/>
          <w:sz w:val="25"/>
          <w:szCs w:val="25"/>
        </w:rPr>
        <w:t>1996</w:t>
      </w:r>
      <w:r w:rsidRPr="009D6A3C">
        <w:rPr>
          <w:rFonts w:asciiTheme="majorBidi" w:hAnsiTheme="majorBidi" w:cstheme="majorBidi"/>
          <w:sz w:val="25"/>
          <w:szCs w:val="25"/>
        </w:rPr>
        <w:t>, Vol. 4, p. 621, 905.</w:t>
      </w:r>
    </w:p>
    <w:p w:rsidR="009D6A3C" w:rsidRPr="009D6A3C" w:rsidRDefault="009D6A3C" w:rsidP="009D6A3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5"/>
          <w:szCs w:val="25"/>
        </w:rPr>
      </w:pPr>
      <w:r w:rsidRPr="009D6A3C">
        <w:rPr>
          <w:rFonts w:asciiTheme="majorBidi" w:hAnsiTheme="majorBidi" w:cstheme="majorBidi"/>
          <w:sz w:val="25"/>
          <w:szCs w:val="25"/>
        </w:rPr>
        <w:t xml:space="preserve">4. A. R. Modarresi-Alam, F. Khamooshi, M. Rostamizadeh, H. Keykha, M. Nasrollahzadeh, H. R. Bijanzadeh and E. Kleinpeter, </w:t>
      </w:r>
      <w:r w:rsidRPr="009D6A3C">
        <w:rPr>
          <w:rFonts w:asciiTheme="majorBidi" w:hAnsiTheme="majorBidi" w:cstheme="majorBidi"/>
          <w:i/>
          <w:iCs/>
          <w:sz w:val="25"/>
          <w:szCs w:val="25"/>
        </w:rPr>
        <w:t>J. Mol. Struct.,</w:t>
      </w:r>
      <w:r w:rsidRPr="009D6A3C">
        <w:rPr>
          <w:rFonts w:asciiTheme="majorBidi" w:hAnsiTheme="majorBidi" w:cstheme="majorBidi"/>
          <w:sz w:val="25"/>
          <w:szCs w:val="25"/>
        </w:rPr>
        <w:t xml:space="preserve"> </w:t>
      </w:r>
      <w:r w:rsidRPr="009D6A3C">
        <w:rPr>
          <w:rFonts w:asciiTheme="majorBidi" w:hAnsiTheme="majorBidi" w:cstheme="majorBidi"/>
          <w:b/>
          <w:bCs/>
          <w:sz w:val="25"/>
          <w:szCs w:val="25"/>
        </w:rPr>
        <w:t>2007</w:t>
      </w:r>
      <w:r w:rsidRPr="009D6A3C">
        <w:rPr>
          <w:rFonts w:asciiTheme="majorBidi" w:hAnsiTheme="majorBidi" w:cstheme="majorBidi"/>
          <w:sz w:val="25"/>
          <w:szCs w:val="25"/>
        </w:rPr>
        <w:t>, 841, 61.</w:t>
      </w:r>
    </w:p>
    <w:p w:rsidR="009D6A3C" w:rsidRPr="009D6A3C" w:rsidRDefault="009D6A3C" w:rsidP="009D6A3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5"/>
          <w:szCs w:val="25"/>
        </w:rPr>
      </w:pPr>
      <w:r w:rsidRPr="009D6A3C">
        <w:rPr>
          <w:rFonts w:asciiTheme="majorBidi" w:hAnsiTheme="majorBidi" w:cstheme="majorBidi"/>
          <w:sz w:val="25"/>
          <w:szCs w:val="25"/>
        </w:rPr>
        <w:lastRenderedPageBreak/>
        <w:t xml:space="preserve">5. V. A. Ostrovskii, R. E. Trifonov and E. A. Popova, </w:t>
      </w:r>
      <w:r w:rsidRPr="009D6A3C">
        <w:rPr>
          <w:rFonts w:asciiTheme="majorBidi" w:hAnsiTheme="majorBidi" w:cstheme="majorBidi"/>
          <w:i/>
          <w:iCs/>
          <w:sz w:val="25"/>
          <w:szCs w:val="25"/>
        </w:rPr>
        <w:t>Russ. Chem. Bull.,</w:t>
      </w:r>
      <w:r w:rsidRPr="009D6A3C">
        <w:rPr>
          <w:rFonts w:asciiTheme="majorBidi" w:hAnsiTheme="majorBidi" w:cstheme="majorBidi"/>
          <w:sz w:val="25"/>
          <w:szCs w:val="25"/>
        </w:rPr>
        <w:t xml:space="preserve">  </w:t>
      </w:r>
      <w:r w:rsidRPr="009D6A3C">
        <w:rPr>
          <w:rFonts w:asciiTheme="majorBidi" w:hAnsiTheme="majorBidi" w:cstheme="majorBidi"/>
          <w:b/>
          <w:bCs/>
          <w:sz w:val="25"/>
          <w:szCs w:val="25"/>
        </w:rPr>
        <w:t>2012</w:t>
      </w:r>
      <w:r w:rsidRPr="009D6A3C">
        <w:rPr>
          <w:rFonts w:asciiTheme="majorBidi" w:hAnsiTheme="majorBidi" w:cstheme="majorBidi"/>
          <w:sz w:val="25"/>
          <w:szCs w:val="25"/>
        </w:rPr>
        <w:t>, 61, 768.</w:t>
      </w:r>
    </w:p>
    <w:p w:rsidR="009D6A3C" w:rsidRPr="009D6A3C" w:rsidRDefault="009D6A3C" w:rsidP="002E6E7D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5"/>
          <w:szCs w:val="25"/>
        </w:rPr>
      </w:pPr>
      <w:r w:rsidRPr="009D6A3C">
        <w:rPr>
          <w:rFonts w:asciiTheme="majorBidi" w:hAnsiTheme="majorBidi" w:cstheme="majorBidi"/>
          <w:sz w:val="25"/>
          <w:szCs w:val="25"/>
        </w:rPr>
        <w:t xml:space="preserve">6. B. S. Jursic and B. W. Leblanc, </w:t>
      </w:r>
      <w:r w:rsidRPr="009D6A3C">
        <w:rPr>
          <w:rFonts w:asciiTheme="majorBidi" w:hAnsiTheme="majorBidi" w:cstheme="majorBidi"/>
          <w:i/>
          <w:iCs/>
          <w:sz w:val="25"/>
          <w:szCs w:val="25"/>
        </w:rPr>
        <w:t>J. Heterocycl. Chem.,</w:t>
      </w:r>
      <w:r w:rsidRPr="009D6A3C">
        <w:rPr>
          <w:rFonts w:asciiTheme="majorBidi" w:hAnsiTheme="majorBidi" w:cstheme="majorBidi"/>
          <w:sz w:val="25"/>
          <w:szCs w:val="25"/>
        </w:rPr>
        <w:t xml:space="preserve"> </w:t>
      </w:r>
      <w:r w:rsidRPr="009D6A3C">
        <w:rPr>
          <w:rFonts w:asciiTheme="majorBidi" w:hAnsiTheme="majorBidi" w:cstheme="majorBidi"/>
          <w:b/>
          <w:bCs/>
          <w:sz w:val="25"/>
          <w:szCs w:val="25"/>
        </w:rPr>
        <w:t>1998</w:t>
      </w:r>
      <w:r w:rsidRPr="009D6A3C">
        <w:rPr>
          <w:rFonts w:asciiTheme="majorBidi" w:hAnsiTheme="majorBidi" w:cstheme="majorBidi"/>
          <w:sz w:val="25"/>
          <w:szCs w:val="25"/>
        </w:rPr>
        <w:t>, 35, 405 and references cited</w:t>
      </w:r>
      <w:r w:rsidR="002E6E7D">
        <w:rPr>
          <w:rFonts w:asciiTheme="majorBidi" w:hAnsiTheme="majorBidi" w:cstheme="majorBidi"/>
          <w:sz w:val="25"/>
          <w:szCs w:val="25"/>
        </w:rPr>
        <w:t xml:space="preserve"> </w:t>
      </w:r>
      <w:r w:rsidRPr="009D6A3C">
        <w:rPr>
          <w:rFonts w:asciiTheme="majorBidi" w:hAnsiTheme="majorBidi" w:cstheme="majorBidi"/>
          <w:sz w:val="25"/>
          <w:szCs w:val="25"/>
        </w:rPr>
        <w:t>therein.</w:t>
      </w:r>
    </w:p>
    <w:p w:rsidR="009D6A3C" w:rsidRPr="009D6A3C" w:rsidRDefault="009D6A3C" w:rsidP="009D6A3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5"/>
          <w:szCs w:val="25"/>
        </w:rPr>
      </w:pPr>
      <w:r w:rsidRPr="009D6A3C">
        <w:rPr>
          <w:rFonts w:asciiTheme="majorBidi" w:hAnsiTheme="majorBidi" w:cstheme="majorBidi"/>
          <w:sz w:val="25"/>
          <w:szCs w:val="25"/>
        </w:rPr>
        <w:t xml:space="preserve">7. K. Binnemans, </w:t>
      </w:r>
      <w:r w:rsidRPr="009D6A3C">
        <w:rPr>
          <w:rFonts w:asciiTheme="majorBidi" w:hAnsiTheme="majorBidi" w:cstheme="majorBidi"/>
          <w:i/>
          <w:iCs/>
          <w:sz w:val="25"/>
          <w:szCs w:val="25"/>
        </w:rPr>
        <w:t>Chem. Rev.,</w:t>
      </w:r>
      <w:r w:rsidRPr="009D6A3C">
        <w:rPr>
          <w:rFonts w:asciiTheme="majorBidi" w:hAnsiTheme="majorBidi" w:cstheme="majorBidi"/>
          <w:sz w:val="25"/>
          <w:szCs w:val="25"/>
        </w:rPr>
        <w:t xml:space="preserve"> </w:t>
      </w:r>
      <w:r w:rsidRPr="009D6A3C">
        <w:rPr>
          <w:rFonts w:asciiTheme="majorBidi" w:hAnsiTheme="majorBidi" w:cstheme="majorBidi"/>
          <w:b/>
          <w:bCs/>
          <w:sz w:val="25"/>
          <w:szCs w:val="25"/>
        </w:rPr>
        <w:t>2007</w:t>
      </w:r>
      <w:r w:rsidRPr="009D6A3C">
        <w:rPr>
          <w:rFonts w:asciiTheme="majorBidi" w:hAnsiTheme="majorBidi" w:cstheme="majorBidi"/>
          <w:sz w:val="25"/>
          <w:szCs w:val="25"/>
        </w:rPr>
        <w:t>, 107, 2592.</w:t>
      </w:r>
    </w:p>
    <w:p w:rsidR="009D6A3C" w:rsidRPr="009D6A3C" w:rsidRDefault="009D6A3C" w:rsidP="009D6A3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 w:themeColor="text1"/>
          <w:sz w:val="25"/>
          <w:szCs w:val="25"/>
        </w:rPr>
      </w:pPr>
      <w:r w:rsidRPr="009D6A3C">
        <w:rPr>
          <w:rFonts w:asciiTheme="majorBidi" w:hAnsiTheme="majorBidi" w:cstheme="majorBidi"/>
          <w:color w:val="000000" w:themeColor="text1"/>
          <w:sz w:val="25"/>
          <w:szCs w:val="25"/>
        </w:rPr>
        <w:t xml:space="preserve">8. </w:t>
      </w:r>
      <w:r w:rsidRPr="009D6A3C">
        <w:rPr>
          <w:rFonts w:asciiTheme="majorBidi" w:hAnsiTheme="majorBidi" w:cstheme="majorBidi"/>
          <w:sz w:val="25"/>
          <w:szCs w:val="25"/>
        </w:rPr>
        <w:t xml:space="preserve">A. Amini Manesh and B. S. Shirmardi, </w:t>
      </w:r>
      <w:r w:rsidRPr="009D6A3C">
        <w:rPr>
          <w:rFonts w:asciiTheme="majorBidi" w:hAnsiTheme="majorBidi" w:cstheme="majorBidi"/>
          <w:i/>
          <w:iCs/>
          <w:sz w:val="25"/>
          <w:szCs w:val="25"/>
        </w:rPr>
        <w:t>J. Chem. Sci.,</w:t>
      </w:r>
      <w:r w:rsidRPr="009D6A3C">
        <w:rPr>
          <w:rFonts w:asciiTheme="majorBidi" w:hAnsiTheme="majorBidi" w:cstheme="majorBidi"/>
          <w:sz w:val="25"/>
          <w:szCs w:val="25"/>
        </w:rPr>
        <w:t xml:space="preserve"> </w:t>
      </w:r>
      <w:r w:rsidRPr="009D6A3C">
        <w:rPr>
          <w:rFonts w:asciiTheme="majorBidi" w:hAnsiTheme="majorBidi" w:cstheme="majorBidi"/>
          <w:b/>
          <w:bCs/>
          <w:sz w:val="25"/>
          <w:szCs w:val="25"/>
        </w:rPr>
        <w:t>2015</w:t>
      </w:r>
      <w:r w:rsidRPr="009D6A3C">
        <w:rPr>
          <w:rFonts w:asciiTheme="majorBidi" w:hAnsiTheme="majorBidi" w:cstheme="majorBidi"/>
          <w:sz w:val="25"/>
          <w:szCs w:val="25"/>
        </w:rPr>
        <w:t>, 3, 493.</w:t>
      </w:r>
    </w:p>
    <w:p w:rsidR="00FC37DB" w:rsidRPr="00171EBD" w:rsidRDefault="00FC37DB" w:rsidP="002E4748">
      <w:pPr>
        <w:pStyle w:val="Heading1"/>
        <w:jc w:val="both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FC37DB" w:rsidP="008729A3">
      <w:pPr>
        <w:spacing w:after="0" w:line="240" w:lineRule="auto"/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="004871DC">
        <w:rPr>
          <w:rFonts w:ascii="Times New Roman" w:eastAsia="Times New Roman" w:hAnsi="Times New Roman" w:cs="Times New Roman"/>
          <w:sz w:val="25"/>
          <w:szCs w:val="25"/>
          <w:lang w:eastAsia="en-IN"/>
        </w:rPr>
        <w:t>Abbas Amini Manesh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</w:t>
      </w:r>
      <w:r w:rsidR="004871DC">
        <w:rPr>
          <w:rFonts w:ascii="Times New Roman" w:eastAsia="Times New Roman" w:hAnsi="Times New Roman" w:cs="Times New Roman"/>
          <w:sz w:val="25"/>
          <w:szCs w:val="25"/>
          <w:lang w:eastAsia="en-IN"/>
        </w:rPr>
        <w:t>n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871D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Assistant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professor of </w:t>
      </w:r>
      <w:r w:rsidR="004871DC">
        <w:rPr>
          <w:rFonts w:ascii="Times New Roman" w:eastAsia="Times New Roman" w:hAnsi="Times New Roman" w:cs="Times New Roman"/>
          <w:sz w:val="25"/>
          <w:szCs w:val="25"/>
          <w:lang w:eastAsia="en-IN"/>
        </w:rPr>
        <w:t>Organic C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hemistry in </w:t>
      </w:r>
      <w:r w:rsidR="004871D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Payame Noor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</w:t>
      </w:r>
      <w:r w:rsidR="004871DC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Hamedan (IRAN).</w:t>
      </w:r>
      <w:r>
        <w:br/>
      </w:r>
      <w:r w:rsid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br/>
      </w:r>
    </w:p>
    <w:p w:rsidR="008729A3" w:rsidRPr="008729A3" w:rsidRDefault="006829C9" w:rsidP="008729A3">
      <w:pPr>
        <w:spacing w:after="0" w:line="240" w:lineRule="auto"/>
        <w:jc w:val="both"/>
        <w:rPr>
          <w:rFonts w:asciiTheme="majorBidi" w:hAnsiTheme="majorBidi" w:cstheme="majorBidi"/>
          <w:sz w:val="25"/>
          <w:szCs w:val="25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8729A3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8729A3" w:rsidRPr="008729A3">
        <w:rPr>
          <w:rFonts w:asciiTheme="majorBidi" w:hAnsiTheme="majorBidi" w:cstheme="majorBidi"/>
          <w:sz w:val="25"/>
          <w:szCs w:val="25"/>
        </w:rPr>
        <w:t>Synthesis of new brominating reagent- Synthesis of new sulfonamides- Diels Alder reactions- Synthesis of polymer supported drugs- Oxidation reactions- Chemical Methodology.</w:t>
      </w:r>
    </w:p>
    <w:p w:rsidR="008729A3" w:rsidRPr="008729A3" w:rsidRDefault="008729A3" w:rsidP="008729A3">
      <w:pPr>
        <w:rPr>
          <w:rFonts w:asciiTheme="majorBidi" w:hAnsiTheme="majorBidi" w:cstheme="majorBidi"/>
          <w:szCs w:val="24"/>
        </w:rPr>
      </w:pP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4871D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a_aminima@yahoo.com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B8200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+989188153410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D99" w:rsidRDefault="009B6D99" w:rsidP="004A0988">
      <w:pPr>
        <w:spacing w:after="0" w:line="240" w:lineRule="auto"/>
      </w:pPr>
      <w:r>
        <w:separator/>
      </w:r>
    </w:p>
  </w:endnote>
  <w:endnote w:type="continuationSeparator" w:id="1">
    <w:p w:rsidR="009B6D99" w:rsidRDefault="009B6D99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AdvGulliv-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D99" w:rsidRDefault="009B6D99" w:rsidP="004A0988">
      <w:pPr>
        <w:spacing w:after="0" w:line="240" w:lineRule="auto"/>
      </w:pPr>
      <w:r>
        <w:separator/>
      </w:r>
    </w:p>
  </w:footnote>
  <w:footnote w:type="continuationSeparator" w:id="1">
    <w:p w:rsidR="009B6D99" w:rsidRDefault="009B6D99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7DB"/>
    <w:rsid w:val="00053290"/>
    <w:rsid w:val="00171EBD"/>
    <w:rsid w:val="001C3309"/>
    <w:rsid w:val="001C4A68"/>
    <w:rsid w:val="00225552"/>
    <w:rsid w:val="002E4748"/>
    <w:rsid w:val="002E6E7D"/>
    <w:rsid w:val="0033784D"/>
    <w:rsid w:val="004871DC"/>
    <w:rsid w:val="004A0988"/>
    <w:rsid w:val="004B0551"/>
    <w:rsid w:val="004D06E0"/>
    <w:rsid w:val="004D4A62"/>
    <w:rsid w:val="005116CB"/>
    <w:rsid w:val="00512EA3"/>
    <w:rsid w:val="00570857"/>
    <w:rsid w:val="00656C61"/>
    <w:rsid w:val="006829C9"/>
    <w:rsid w:val="007257BF"/>
    <w:rsid w:val="00725DD9"/>
    <w:rsid w:val="00794EA4"/>
    <w:rsid w:val="00835750"/>
    <w:rsid w:val="008729A3"/>
    <w:rsid w:val="008921C0"/>
    <w:rsid w:val="008B1DB0"/>
    <w:rsid w:val="008C3271"/>
    <w:rsid w:val="009A22FE"/>
    <w:rsid w:val="009A5A78"/>
    <w:rsid w:val="009B6D99"/>
    <w:rsid w:val="009D6A3C"/>
    <w:rsid w:val="009E0CC5"/>
    <w:rsid w:val="00A26311"/>
    <w:rsid w:val="00A3017E"/>
    <w:rsid w:val="00A67B2F"/>
    <w:rsid w:val="00AD112E"/>
    <w:rsid w:val="00B163F7"/>
    <w:rsid w:val="00B71A14"/>
    <w:rsid w:val="00B82006"/>
    <w:rsid w:val="00BD141D"/>
    <w:rsid w:val="00BE6CB1"/>
    <w:rsid w:val="00C643B3"/>
    <w:rsid w:val="00F040DB"/>
    <w:rsid w:val="00F23D07"/>
    <w:rsid w:val="00F34F9B"/>
    <w:rsid w:val="00FC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C61"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9D6A3C"/>
    <w:pPr>
      <w:spacing w:after="0" w:line="240" w:lineRule="auto"/>
    </w:pPr>
    <w:rPr>
      <w:lang w:val="en-US"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729A3"/>
    <w:pPr>
      <w:spacing w:after="0" w:line="240" w:lineRule="auto"/>
    </w:pPr>
    <w:rPr>
      <w:rFonts w:ascii="Times New Roman" w:eastAsia="Times New Roman" w:hAnsi="Times New Roman" w:cs="Nazanin"/>
      <w:noProof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729A3"/>
    <w:rPr>
      <w:rFonts w:ascii="Times New Roman" w:eastAsia="Times New Roman" w:hAnsi="Times New Roman" w:cs="Nazanin"/>
      <w:noProof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webSettings" Target="webSettings.xml"/><Relationship Id="rId21" Type="http://schemas.openxmlformats.org/officeDocument/2006/relationships/image" Target="media/image9.emf"/><Relationship Id="rId34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oleObject" Target="embeddings/oleObject3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5" Type="http://schemas.openxmlformats.org/officeDocument/2006/relationships/endnotes" Target="endnote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Parmis</cp:lastModifiedBy>
  <cp:revision>22</cp:revision>
  <dcterms:created xsi:type="dcterms:W3CDTF">2017-09-27T12:05:00Z</dcterms:created>
  <dcterms:modified xsi:type="dcterms:W3CDTF">2018-05-18T08:18:00Z</dcterms:modified>
</cp:coreProperties>
</file>