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Pr="000C646F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</w:t>
      </w:r>
      <w:r w:rsidR="0049219B"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</w:t>
      </w:r>
      <w:r w:rsidR="004F7B2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</w:t>
      </w:r>
      <w:r w:rsidR="0049219B"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</w:t>
      </w:r>
      <w:r w:rsidR="001E7D40" w:rsidRPr="000C646F">
        <w:rPr>
          <w:rFonts w:ascii="Times New Roman" w:eastAsia="Times New Roman" w:hAnsi="Times New Roman" w:cs="Times New Roman"/>
          <w:i/>
          <w:noProof/>
          <w:sz w:val="25"/>
          <w:szCs w:val="25"/>
          <w:lang w:val="pt-PT" w:eastAsia="pt-PT"/>
        </w:rPr>
        <w:drawing>
          <wp:inline distT="0" distB="0" distL="0" distR="0" wp14:anchorId="4B7ABEE4" wp14:editId="3EFA0BB7">
            <wp:extent cx="914400" cy="11341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37DB" w:rsidRPr="000C646F" w:rsidRDefault="00FC37DB" w:rsidP="004A0988">
      <w:pPr>
        <w:pStyle w:val="Heading2"/>
        <w:rPr>
          <w:rFonts w:eastAsia="Times New Roman"/>
          <w:b/>
          <w:color w:val="auto"/>
          <w:lang w:eastAsia="en-IN"/>
        </w:rPr>
      </w:pPr>
      <w:r w:rsidRPr="000C646F">
        <w:rPr>
          <w:rFonts w:eastAsia="Times New Roman"/>
          <w:b/>
          <w:lang w:eastAsia="en-IN"/>
        </w:rPr>
        <w:t>Title of the Abstract:</w:t>
      </w:r>
      <w:r w:rsidR="00794EA4" w:rsidRPr="000C646F">
        <w:rPr>
          <w:rFonts w:eastAsia="Times New Roman"/>
          <w:b/>
          <w:lang w:eastAsia="en-IN"/>
        </w:rPr>
        <w:t xml:space="preserve"> </w:t>
      </w:r>
      <w:r w:rsidR="005B73FC" w:rsidRPr="005B73FC">
        <w:rPr>
          <w:rFonts w:eastAsia="Times New Roman"/>
          <w:b/>
          <w:color w:val="auto"/>
          <w:lang w:eastAsia="en-IN"/>
        </w:rPr>
        <w:t>Fractionation of acids, ketones and aldehydes from alkaline ligni</w:t>
      </w:r>
      <w:r w:rsidR="005B73FC">
        <w:rPr>
          <w:rFonts w:eastAsia="Times New Roman"/>
          <w:b/>
          <w:color w:val="auto"/>
          <w:lang w:eastAsia="en-IN"/>
        </w:rPr>
        <w:t>n oxidation solution with SP700 resin</w:t>
      </w:r>
    </w:p>
    <w:p w:rsidR="00FC37DB" w:rsidRPr="00F52F51" w:rsidRDefault="00856B2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</w:pPr>
      <w:r w:rsidRPr="00F52F5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>Authors</w:t>
      </w:r>
      <w:r w:rsidR="00FC37DB" w:rsidRPr="00F52F5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>:</w:t>
      </w:r>
      <w:r w:rsidR="0049219B" w:rsidRPr="00F52F5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 xml:space="preserve"> </w:t>
      </w:r>
      <w:r w:rsidR="0049219B" w:rsidRPr="00F52F51">
        <w:rPr>
          <w:rFonts w:ascii="Times New Roman" w:eastAsia="Times New Roman" w:hAnsi="Times New Roman" w:cs="Times New Roman"/>
          <w:i/>
          <w:color w:val="0070C0"/>
          <w:sz w:val="25"/>
          <w:szCs w:val="25"/>
          <w:u w:val="single"/>
          <w:lang w:val="pt-PT" w:eastAsia="en-IN"/>
        </w:rPr>
        <w:t>Elson D. Gomes</w:t>
      </w:r>
      <w:r w:rsidR="001E7D40" w:rsidRPr="00F52F51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pt-PT" w:eastAsia="en-IN"/>
        </w:rPr>
        <w:t>; Maria I. Mota, A. E. Rodrigues</w:t>
      </w:r>
    </w:p>
    <w:p w:rsidR="00FC37DB" w:rsidRPr="000C646F" w:rsidRDefault="00FC37DB" w:rsidP="0081346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81346D" w:rsidRPr="000C646F">
        <w:t xml:space="preserve"> </w:t>
      </w:r>
      <w:bookmarkStart w:id="0" w:name="OLE_LINK4"/>
      <w:r w:rsidR="0081346D"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Associate Laboratory LSRE-LCM Laboratory of Separation and Reaction Engineering - Laboratory of Catalysis and Materials</w:t>
      </w:r>
      <w:bookmarkEnd w:id="0"/>
    </w:p>
    <w:p w:rsidR="00FC37DB" w:rsidRPr="000C646F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49219B"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Faculty of Engineering of University of Porto</w:t>
      </w:r>
    </w:p>
    <w:p w:rsidR="00FC37DB" w:rsidRPr="000C646F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49219B"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Portugal</w:t>
      </w:r>
    </w:p>
    <w:p w:rsidR="00794EA4" w:rsidRPr="000C646F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</w:p>
    <w:p w:rsidR="00FC37DB" w:rsidRPr="000C646F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0C646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Category: (Oral presentation)</w:t>
      </w:r>
    </w:p>
    <w:p w:rsidR="005B73FC" w:rsidRDefault="005B73FC" w:rsidP="00316ACD">
      <w:pPr>
        <w:pStyle w:val="Heading1"/>
        <w:spacing w:line="240" w:lineRule="auto"/>
        <w:jc w:val="both"/>
        <w:rPr>
          <w:rFonts w:eastAsia="Times New Roman"/>
          <w:u w:val="single"/>
          <w:lang w:eastAsia="en-IN"/>
        </w:rPr>
      </w:pPr>
      <w:r>
        <w:rPr>
          <w:rFonts w:eastAsia="Times New Roman"/>
          <w:u w:val="single"/>
          <w:lang w:eastAsia="en-IN"/>
        </w:rPr>
        <w:t>Abstract:</w:t>
      </w:r>
      <w:bookmarkStart w:id="1" w:name="OLE_LINK1"/>
      <w:bookmarkStart w:id="2" w:name="OLE_LINK2"/>
    </w:p>
    <w:p w:rsidR="00FB2316" w:rsidRDefault="00F52F51" w:rsidP="00316ACD">
      <w:pPr>
        <w:pStyle w:val="Heading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The separation of the products from the alkaline </w:t>
      </w:r>
      <w:r w:rsidR="007820F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wet 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oxidative depolymerization of lignin is currently very laborious, generally, requiring several steps of solvent extraction and precipitation. The separat</w:t>
      </w:r>
      <w:r w:rsidR="005B73FC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ion of the different species is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achieved by adsorption with nonpolar SP700 resin, which</w:t>
      </w:r>
      <w:r w:rsidR="004F7B28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is able to fractionate the complex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solution in families of chemicals namely phenolic acids, aldehydes and ketones. The main fractions obtained during adsorption, desorption with water followed by desorption with ethanol are very distinct in composition; the first is richer in vanillic (VA) and syringic (SA) acids, the second, mostly vanillin (V) and syringaldehyde (S) and the third one concentrates acetovanillone (VO) and acetosyringone (SO).</w:t>
      </w:r>
      <w:r w:rsidR="00316AC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Fractionation can be adjusted by choo</w:t>
      </w:r>
      <w:r w:rsidR="007820F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sing the pH of the feed mixture; here it 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was studied in the range of 9 to 12. Depending on the fixed feed pH, the recoveries of aldehydes (V+S) in the water desorption step were almost complete (&gt;80% at pH 10 or above</w:t>
      </w:r>
      <w:r w:rsidR="00792F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,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) with only traces pre</w:t>
      </w:r>
      <w:bookmarkStart w:id="3" w:name="_GoBack"/>
      <w:bookmarkEnd w:id="3"/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sent in the fraction desorbed with ethanol. It was found that pH 12 was better for concentrating aldehydes and ketones at the same time, and that pH 10 </w:t>
      </w:r>
      <w:r w:rsidR="00183E9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(</w:t>
      </w:r>
      <w:r w:rsidR="00183E9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Figure 1</w:t>
      </w:r>
      <w:r w:rsidR="00183E9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) 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was better at maximizing the fractionation of aldehydes and ketones since the majority of aldehydes desorb in the water phase (87%) w</w:t>
      </w:r>
      <w:r w:rsidR="007820F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hile there is also a decrease on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the amount of the ketones desorbed (from 53% to 25%). Ketones </w:t>
      </w:r>
      <w:r w:rsidR="007820FA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desorb</w:t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preferably in the ethanolic phase</w:t>
      </w:r>
      <w:r w:rsidR="00316AC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316AC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begin"/>
      </w:r>
      <w:r w:rsidR="00316AC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instrText xml:space="preserve"> ADDIN EN.CITE &lt;EndNote&gt;&lt;Cite&gt;&lt;Author&gt;Gomes&lt;/Author&gt;&lt;Year&gt;2018&lt;/Year&gt;&lt;RecNum&gt;2583&lt;/RecNum&gt;&lt;DisplayText&gt;[1]&lt;/DisplayText&gt;&lt;record&gt;&lt;rec-number&gt;2583&lt;/rec-number&gt;&lt;foreign-keys&gt;&lt;key app="EN" db-id="5ffxzxe21ssswxexrw65v9stp95ewvvdsd9p" timestamp="1519313883"&gt;2583&lt;/key&gt;&lt;/foreign-keys&gt;&lt;ref-type name="Journal Article"&gt;17&lt;/ref-type&gt;&lt;contributors&gt;&lt;authors&gt;&lt;author&gt;Gomes, E. D.&lt;/author&gt;&lt;author&gt;Mota, M. I.&lt;/author&gt;&lt;author&gt;Rodrigues, A. E.&lt;/author&gt;&lt;/authors&gt;&lt;/contributors&gt;&lt;titles&gt;&lt;title&gt;Fractionation of acids, ketones and aldehydes from alkaline lignin oxidation solution with SP700 resin&lt;/title&gt;&lt;secondary-title&gt;Separation and Purification Technology&lt;/secondary-title&gt;&lt;/titles&gt;&lt;periodical&gt;&lt;full-title&gt;Separation and Purification Technology&lt;/full-title&gt;&lt;/periodical&gt;&lt;pages&gt;256-264&lt;/pages&gt;&lt;volume&gt;194&lt;/volume&gt;&lt;section&gt;256&lt;/section&gt;&lt;dates&gt;&lt;year&gt;2018&lt;/year&gt;&lt;/dates&gt;&lt;isbn&gt;13835866&lt;/isbn&gt;&lt;urls&gt;&lt;/urls&gt;&lt;electronic-resource-num&gt;10.1016/j.seppur.2017.11.050&lt;/electronic-resource-num&gt;&lt;/record&gt;&lt;/Cite&gt;&lt;/EndNote&gt;</w:instrText>
      </w:r>
      <w:r w:rsidR="00316AC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separate"/>
      </w:r>
      <w:r w:rsidR="00316ACD">
        <w:rPr>
          <w:rFonts w:ascii="Times New Roman" w:eastAsia="Times New Roman" w:hAnsi="Times New Roman" w:cs="Times New Roman"/>
          <w:noProof/>
          <w:color w:val="auto"/>
          <w:sz w:val="25"/>
          <w:szCs w:val="25"/>
          <w:lang w:eastAsia="en-IN"/>
        </w:rPr>
        <w:t>[1]</w:t>
      </w:r>
      <w:r w:rsidR="00316AC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fldChar w:fldCharType="end"/>
      </w:r>
      <w:r w:rsidRPr="00F52F5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.</w:t>
      </w:r>
      <w:bookmarkEnd w:id="1"/>
      <w:bookmarkEnd w:id="2"/>
    </w:p>
    <w:p w:rsidR="00AA32A9" w:rsidRDefault="00FB2316" w:rsidP="004F7B28">
      <w:pPr>
        <w:pStyle w:val="Heading1"/>
        <w:jc w:val="center"/>
      </w:pPr>
      <w:r>
        <w:rPr>
          <w:rFonts w:ascii="Times New Roman" w:eastAsia="Times New Roman" w:hAnsi="Times New Roman" w:cs="Times New Roman"/>
          <w:noProof/>
          <w:color w:val="auto"/>
          <w:sz w:val="25"/>
          <w:szCs w:val="25"/>
          <w:lang w:val="pt-PT" w:eastAsia="pt-PT"/>
        </w:rPr>
        <w:drawing>
          <wp:inline distT="0" distB="0" distL="0" distR="0">
            <wp:extent cx="4551528" cy="1280243"/>
            <wp:effectExtent l="0" t="0" r="1905" b="0"/>
            <wp:docPr id="4" name="Picture 4" descr="C:\Users\Utilizador\Dropbox\papers\paper_EG_IM_AR\imagens\single_pH_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zador\Dropbox\papers\paper_EG_IM_AR\imagens\single_pH_10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036" cy="1294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316" w:rsidRPr="004F7B28" w:rsidRDefault="00AA32A9" w:rsidP="00AA32A9">
      <w:pPr>
        <w:pStyle w:val="Caption"/>
        <w:jc w:val="both"/>
        <w:rPr>
          <w:color w:val="auto"/>
          <w:sz w:val="16"/>
          <w:szCs w:val="16"/>
        </w:rPr>
      </w:pPr>
      <w:r w:rsidRPr="004F7B28">
        <w:rPr>
          <w:color w:val="auto"/>
          <w:sz w:val="16"/>
          <w:szCs w:val="16"/>
        </w:rPr>
        <w:t xml:space="preserve">Figure </w:t>
      </w:r>
      <w:r w:rsidRPr="004F7B28">
        <w:rPr>
          <w:color w:val="auto"/>
          <w:sz w:val="16"/>
          <w:szCs w:val="16"/>
        </w:rPr>
        <w:fldChar w:fldCharType="begin"/>
      </w:r>
      <w:r w:rsidRPr="004F7B28">
        <w:rPr>
          <w:color w:val="auto"/>
          <w:sz w:val="16"/>
          <w:szCs w:val="16"/>
        </w:rPr>
        <w:instrText xml:space="preserve"> SEQ Figure \* ARABIC </w:instrText>
      </w:r>
      <w:r w:rsidRPr="004F7B28">
        <w:rPr>
          <w:color w:val="auto"/>
          <w:sz w:val="16"/>
          <w:szCs w:val="16"/>
        </w:rPr>
        <w:fldChar w:fldCharType="separate"/>
      </w:r>
      <w:r w:rsidRPr="004F7B28">
        <w:rPr>
          <w:noProof/>
          <w:color w:val="auto"/>
          <w:sz w:val="16"/>
          <w:szCs w:val="16"/>
        </w:rPr>
        <w:t>1</w:t>
      </w:r>
      <w:r w:rsidRPr="004F7B28">
        <w:rPr>
          <w:color w:val="auto"/>
          <w:sz w:val="16"/>
          <w:szCs w:val="16"/>
        </w:rPr>
        <w:fldChar w:fldCharType="end"/>
      </w:r>
      <w:r w:rsidRPr="004F7B28">
        <w:rPr>
          <w:color w:val="auto"/>
          <w:sz w:val="16"/>
          <w:szCs w:val="16"/>
        </w:rPr>
        <w:t xml:space="preserve"> </w:t>
      </w:r>
      <w:r w:rsidR="00CB32D1" w:rsidRPr="004F7B28">
        <w:rPr>
          <w:color w:val="auto"/>
          <w:sz w:val="16"/>
          <w:szCs w:val="16"/>
        </w:rPr>
        <w:t>–</w:t>
      </w:r>
      <w:r w:rsidR="00316ACD" w:rsidRPr="004F7B28">
        <w:rPr>
          <w:color w:val="auto"/>
          <w:sz w:val="16"/>
          <w:szCs w:val="16"/>
        </w:rPr>
        <w:t xml:space="preserve"> </w:t>
      </w:r>
      <w:r w:rsidR="00792F00">
        <w:rPr>
          <w:color w:val="auto"/>
          <w:sz w:val="16"/>
          <w:szCs w:val="16"/>
        </w:rPr>
        <w:t>Dimensionless c</w:t>
      </w:r>
      <w:r w:rsidR="00CB32D1" w:rsidRPr="004F7B28">
        <w:rPr>
          <w:color w:val="auto"/>
          <w:sz w:val="16"/>
          <w:szCs w:val="16"/>
        </w:rPr>
        <w:t>oncentra</w:t>
      </w:r>
      <w:r w:rsidR="00316ACD" w:rsidRPr="004F7B28">
        <w:rPr>
          <w:color w:val="auto"/>
          <w:sz w:val="16"/>
          <w:szCs w:val="16"/>
        </w:rPr>
        <w:t>tion</w:t>
      </w:r>
      <w:r w:rsidR="00CB32D1" w:rsidRPr="004F7B28">
        <w:rPr>
          <w:color w:val="auto"/>
          <w:sz w:val="16"/>
          <w:szCs w:val="16"/>
        </w:rPr>
        <w:t xml:space="preserve"> </w:t>
      </w:r>
      <w:r w:rsidR="00316ACD" w:rsidRPr="004F7B28">
        <w:rPr>
          <w:color w:val="auto"/>
          <w:sz w:val="16"/>
          <w:szCs w:val="16"/>
        </w:rPr>
        <w:t>histories</w:t>
      </w:r>
      <w:r w:rsidR="00316ACD" w:rsidRPr="004F7B28">
        <w:rPr>
          <w:color w:val="auto"/>
          <w:sz w:val="16"/>
          <w:szCs w:val="16"/>
        </w:rPr>
        <w:t xml:space="preserve"> </w:t>
      </w:r>
      <w:r w:rsidR="00316ACD" w:rsidRPr="004F7B28">
        <w:rPr>
          <w:color w:val="auto"/>
          <w:sz w:val="16"/>
          <w:szCs w:val="16"/>
        </w:rPr>
        <w:t>of</w:t>
      </w:r>
      <w:r w:rsidR="00CB32D1" w:rsidRPr="004F7B28">
        <w:rPr>
          <w:color w:val="auto"/>
          <w:sz w:val="16"/>
          <w:szCs w:val="16"/>
        </w:rPr>
        <w:t xml:space="preserve"> the phenolic compounds at column outlet. </w:t>
      </w:r>
      <w:r w:rsidRPr="004F7B28">
        <w:rPr>
          <w:color w:val="auto"/>
          <w:sz w:val="16"/>
          <w:szCs w:val="16"/>
        </w:rPr>
        <w:t>Blue line – start of desorption with deionized water, red line – start of desorption with etha</w:t>
      </w:r>
      <w:r w:rsidR="00316ACD" w:rsidRPr="004F7B28">
        <w:rPr>
          <w:color w:val="auto"/>
          <w:sz w:val="16"/>
          <w:szCs w:val="16"/>
        </w:rPr>
        <w:t>nol. Conditions: feed vol.</w:t>
      </w:r>
      <w:r w:rsidRPr="004F7B28">
        <w:rPr>
          <w:color w:val="auto"/>
          <w:sz w:val="16"/>
          <w:szCs w:val="16"/>
        </w:rPr>
        <w:t xml:space="preserve"> flow rate: 10 mL/min, pH of feed mixture: 10, column jacket temperature : 25</w:t>
      </w:r>
      <w:r w:rsidRPr="004F7B28">
        <w:rPr>
          <w:rFonts w:ascii="Cambria Math" w:hAnsi="Cambria Math" w:cs="Cambria Math"/>
          <w:color w:val="auto"/>
          <w:sz w:val="16"/>
          <w:szCs w:val="16"/>
        </w:rPr>
        <w:t>℃</w:t>
      </w:r>
      <w:r w:rsidR="00316ACD" w:rsidRPr="004F7B28">
        <w:rPr>
          <w:color w:val="auto"/>
          <w:sz w:val="16"/>
          <w:szCs w:val="16"/>
        </w:rPr>
        <w:t>; H </w:t>
      </w:r>
      <w:r w:rsidRPr="004F7B28">
        <w:rPr>
          <w:rFonts w:cs="Calibri"/>
          <w:color w:val="auto"/>
          <w:sz w:val="16"/>
          <w:szCs w:val="16"/>
        </w:rPr>
        <w:t>–</w:t>
      </w:r>
      <w:r w:rsidR="00316ACD" w:rsidRPr="004F7B28">
        <w:rPr>
          <w:color w:val="auto"/>
          <w:sz w:val="16"/>
          <w:szCs w:val="16"/>
        </w:rPr>
        <w:t> p</w:t>
      </w:r>
      <w:r w:rsidR="00316ACD" w:rsidRPr="004F7B28">
        <w:rPr>
          <w:color w:val="auto"/>
          <w:sz w:val="16"/>
          <w:szCs w:val="16"/>
        </w:rPr>
        <w:noBreakHyphen/>
        <w:t>hydroxybenzaldehyde, VA </w:t>
      </w:r>
      <w:r w:rsidRPr="004F7B28">
        <w:rPr>
          <w:rFonts w:cs="Calibri"/>
          <w:color w:val="auto"/>
          <w:sz w:val="16"/>
          <w:szCs w:val="16"/>
        </w:rPr>
        <w:t>–</w:t>
      </w:r>
      <w:r w:rsidR="00316ACD" w:rsidRPr="004F7B28">
        <w:rPr>
          <w:color w:val="auto"/>
          <w:sz w:val="16"/>
          <w:szCs w:val="16"/>
        </w:rPr>
        <w:t> </w:t>
      </w:r>
      <w:r w:rsidRPr="004F7B28">
        <w:rPr>
          <w:color w:val="auto"/>
          <w:sz w:val="16"/>
          <w:szCs w:val="16"/>
        </w:rPr>
        <w:t>vanillic acid</w:t>
      </w:r>
      <w:r w:rsidR="00316ACD" w:rsidRPr="004F7B28">
        <w:rPr>
          <w:color w:val="auto"/>
          <w:sz w:val="16"/>
          <w:szCs w:val="16"/>
        </w:rPr>
        <w:t>, V – vanillin, SA – syringic acid, S – syringaldehyde, VO – </w:t>
      </w:r>
      <w:r w:rsidRPr="004F7B28">
        <w:rPr>
          <w:color w:val="auto"/>
          <w:sz w:val="16"/>
          <w:szCs w:val="16"/>
        </w:rPr>
        <w:t>acetovanillone, SO – acetosyringone. [H</w:t>
      </w:r>
      <w:r w:rsidR="00CB32D1" w:rsidRPr="004F7B28">
        <w:rPr>
          <w:color w:val="auto"/>
          <w:sz w:val="16"/>
          <w:szCs w:val="16"/>
        </w:rPr>
        <w:t>] </w:t>
      </w:r>
      <w:r w:rsidRPr="004F7B28">
        <w:rPr>
          <w:color w:val="auto"/>
          <w:sz w:val="16"/>
          <w:szCs w:val="16"/>
        </w:rPr>
        <w:t>=</w:t>
      </w:r>
      <w:r w:rsidR="00CB32D1" w:rsidRPr="004F7B28">
        <w:rPr>
          <w:color w:val="auto"/>
          <w:sz w:val="16"/>
          <w:szCs w:val="16"/>
        </w:rPr>
        <w:t> </w:t>
      </w:r>
      <w:r w:rsidRPr="004F7B28">
        <w:rPr>
          <w:color w:val="auto"/>
          <w:sz w:val="16"/>
          <w:szCs w:val="16"/>
        </w:rPr>
        <w:t>0.014</w:t>
      </w:r>
      <w:r w:rsidR="00CB32D1" w:rsidRPr="004F7B28">
        <w:rPr>
          <w:color w:val="auto"/>
          <w:sz w:val="16"/>
          <w:szCs w:val="16"/>
        </w:rPr>
        <w:t> </w:t>
      </w:r>
      <w:r w:rsidRPr="004F7B28">
        <w:rPr>
          <w:color w:val="auto"/>
          <w:sz w:val="16"/>
          <w:szCs w:val="16"/>
        </w:rPr>
        <w:t>g/L</w:t>
      </w:r>
      <w:r w:rsidR="00CB32D1" w:rsidRPr="004F7B28">
        <w:rPr>
          <w:color w:val="auto"/>
          <w:sz w:val="16"/>
          <w:szCs w:val="16"/>
        </w:rPr>
        <w:t>, [VA] </w:t>
      </w:r>
      <w:r w:rsidRPr="004F7B28">
        <w:rPr>
          <w:color w:val="auto"/>
          <w:sz w:val="16"/>
          <w:szCs w:val="16"/>
        </w:rPr>
        <w:t>=</w:t>
      </w:r>
      <w:r w:rsidR="00CB32D1" w:rsidRPr="004F7B28">
        <w:rPr>
          <w:color w:val="auto"/>
          <w:sz w:val="16"/>
          <w:szCs w:val="16"/>
        </w:rPr>
        <w:t> </w:t>
      </w:r>
      <w:r w:rsidRPr="004F7B28">
        <w:rPr>
          <w:color w:val="auto"/>
          <w:sz w:val="16"/>
          <w:szCs w:val="16"/>
        </w:rPr>
        <w:t>0.165</w:t>
      </w:r>
      <w:r w:rsidR="00CB32D1" w:rsidRPr="004F7B28">
        <w:rPr>
          <w:color w:val="auto"/>
          <w:sz w:val="16"/>
          <w:szCs w:val="16"/>
        </w:rPr>
        <w:t>, [V] </w:t>
      </w:r>
      <w:r w:rsidRPr="004F7B28">
        <w:rPr>
          <w:color w:val="auto"/>
          <w:sz w:val="16"/>
          <w:szCs w:val="16"/>
        </w:rPr>
        <w:t>=</w:t>
      </w:r>
      <w:r w:rsidR="00CB32D1" w:rsidRPr="004F7B28">
        <w:rPr>
          <w:color w:val="auto"/>
          <w:sz w:val="16"/>
          <w:szCs w:val="16"/>
        </w:rPr>
        <w:t> </w:t>
      </w:r>
      <w:r w:rsidRPr="004F7B28">
        <w:rPr>
          <w:color w:val="auto"/>
          <w:sz w:val="16"/>
          <w:szCs w:val="16"/>
        </w:rPr>
        <w:t>0.056</w:t>
      </w:r>
      <w:r w:rsidR="00CB32D1" w:rsidRPr="004F7B28">
        <w:rPr>
          <w:color w:val="auto"/>
          <w:sz w:val="16"/>
          <w:szCs w:val="16"/>
        </w:rPr>
        <w:t> g/L</w:t>
      </w:r>
      <w:r w:rsidRPr="004F7B28">
        <w:rPr>
          <w:color w:val="auto"/>
          <w:sz w:val="16"/>
          <w:szCs w:val="16"/>
        </w:rPr>
        <w:t xml:space="preserve">, </w:t>
      </w:r>
      <w:r w:rsidR="00CB32D1" w:rsidRPr="004F7B28">
        <w:rPr>
          <w:color w:val="auto"/>
          <w:sz w:val="16"/>
          <w:szCs w:val="16"/>
        </w:rPr>
        <w:t>[</w:t>
      </w:r>
      <w:r w:rsidRPr="004F7B28">
        <w:rPr>
          <w:color w:val="auto"/>
          <w:sz w:val="16"/>
          <w:szCs w:val="16"/>
        </w:rPr>
        <w:t>SA</w:t>
      </w:r>
      <w:r w:rsidR="00CB32D1" w:rsidRPr="004F7B28">
        <w:rPr>
          <w:color w:val="auto"/>
          <w:sz w:val="16"/>
          <w:szCs w:val="16"/>
        </w:rPr>
        <w:t>] = </w:t>
      </w:r>
      <w:r w:rsidRPr="004F7B28">
        <w:rPr>
          <w:color w:val="auto"/>
          <w:sz w:val="16"/>
          <w:szCs w:val="16"/>
        </w:rPr>
        <w:t>0.142</w:t>
      </w:r>
      <w:r w:rsidR="00CB32D1" w:rsidRPr="004F7B28">
        <w:rPr>
          <w:color w:val="auto"/>
          <w:sz w:val="16"/>
          <w:szCs w:val="16"/>
        </w:rPr>
        <w:t> g/L,</w:t>
      </w:r>
      <w:r w:rsidRPr="004F7B28">
        <w:rPr>
          <w:color w:val="auto"/>
          <w:sz w:val="16"/>
          <w:szCs w:val="16"/>
        </w:rPr>
        <w:t xml:space="preserve"> </w:t>
      </w:r>
      <w:r w:rsidR="00CB32D1" w:rsidRPr="004F7B28">
        <w:rPr>
          <w:color w:val="auto"/>
          <w:sz w:val="16"/>
          <w:szCs w:val="16"/>
        </w:rPr>
        <w:t>[</w:t>
      </w:r>
      <w:r w:rsidRPr="004F7B28">
        <w:rPr>
          <w:color w:val="auto"/>
          <w:sz w:val="16"/>
          <w:szCs w:val="16"/>
        </w:rPr>
        <w:t>S</w:t>
      </w:r>
      <w:r w:rsidR="00CB32D1" w:rsidRPr="004F7B28">
        <w:rPr>
          <w:color w:val="auto"/>
          <w:sz w:val="16"/>
          <w:szCs w:val="16"/>
        </w:rPr>
        <w:t>] = </w:t>
      </w:r>
      <w:r w:rsidRPr="004F7B28">
        <w:rPr>
          <w:color w:val="auto"/>
          <w:sz w:val="16"/>
          <w:szCs w:val="16"/>
        </w:rPr>
        <w:t>0.073</w:t>
      </w:r>
      <w:r w:rsidR="00CB32D1" w:rsidRPr="004F7B28">
        <w:rPr>
          <w:color w:val="auto"/>
          <w:sz w:val="16"/>
          <w:szCs w:val="16"/>
        </w:rPr>
        <w:t> g/L, [V</w:t>
      </w:r>
      <w:r w:rsidRPr="004F7B28">
        <w:rPr>
          <w:color w:val="auto"/>
          <w:sz w:val="16"/>
          <w:szCs w:val="16"/>
        </w:rPr>
        <w:t>O</w:t>
      </w:r>
      <w:r w:rsidR="00CB32D1" w:rsidRPr="004F7B28">
        <w:rPr>
          <w:color w:val="auto"/>
          <w:sz w:val="16"/>
          <w:szCs w:val="16"/>
        </w:rPr>
        <w:t>] = 0.040 </w:t>
      </w:r>
      <w:r w:rsidRPr="004F7B28">
        <w:rPr>
          <w:color w:val="auto"/>
          <w:sz w:val="16"/>
          <w:szCs w:val="16"/>
        </w:rPr>
        <w:t>g/L, [SO</w:t>
      </w:r>
      <w:r w:rsidR="00CB32D1" w:rsidRPr="004F7B28">
        <w:rPr>
          <w:color w:val="auto"/>
          <w:sz w:val="16"/>
          <w:szCs w:val="16"/>
        </w:rPr>
        <w:t>] = </w:t>
      </w:r>
      <w:r w:rsidR="00316ACD" w:rsidRPr="004F7B28">
        <w:rPr>
          <w:color w:val="auto"/>
          <w:sz w:val="16"/>
          <w:szCs w:val="16"/>
        </w:rPr>
        <w:t>0.035 g/L;</w:t>
      </w:r>
      <w:r w:rsidR="00CB32D1" w:rsidRPr="004F7B28">
        <w:rPr>
          <w:color w:val="auto"/>
          <w:sz w:val="16"/>
          <w:szCs w:val="16"/>
        </w:rPr>
        <w:t xml:space="preserve"> Column: Merk-Darmstadt (L) 446mm x (ID) 26 mm</w:t>
      </w:r>
      <w:r w:rsidR="00316ACD" w:rsidRPr="004F7B28">
        <w:rPr>
          <w:color w:val="auto"/>
          <w:sz w:val="16"/>
          <w:szCs w:val="16"/>
        </w:rPr>
        <w:t xml:space="preserve">; </w:t>
      </w:r>
      <m:oMath>
        <m:acc>
          <m:accPr>
            <m:chr m:val="̅"/>
            <m:ctrlPr>
              <w:rPr>
                <w:rFonts w:ascii="Cambria Math" w:hAnsi="Cambria Math"/>
                <w:color w:val="auto"/>
                <w:sz w:val="16"/>
                <w:szCs w:val="16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color w:val="auto"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16"/>
                    <w:szCs w:val="16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auto"/>
                    <w:sz w:val="16"/>
                    <w:szCs w:val="16"/>
                  </w:rPr>
                  <m:t>r</m:t>
                </m:r>
              </m:sub>
            </m:sSub>
          </m:e>
        </m:acc>
        <m:r>
          <w:rPr>
            <w:rFonts w:ascii="Cambria Math" w:hAnsi="Cambria Math"/>
            <w:color w:val="auto"/>
            <w:sz w:val="16"/>
            <w:szCs w:val="16"/>
          </w:rPr>
          <m:t>(m</m:t>
        </m:r>
      </m:oMath>
      <w:r w:rsidR="00316ACD" w:rsidRPr="004F7B28">
        <w:rPr>
          <w:color w:val="auto"/>
          <w:sz w:val="16"/>
          <w:szCs w:val="16"/>
        </w:rPr>
        <w:t>ean res. time</w:t>
      </w:r>
      <w:r w:rsidR="00792F00">
        <w:rPr>
          <w:color w:val="auto"/>
          <w:sz w:val="16"/>
          <w:szCs w:val="16"/>
        </w:rPr>
        <w:t xml:space="preserve">) </w:t>
      </w:r>
      <w:r w:rsidR="00316ACD" w:rsidRPr="004F7B28">
        <w:rPr>
          <w:color w:val="auto"/>
          <w:sz w:val="16"/>
          <w:szCs w:val="16"/>
        </w:rPr>
        <w:t>= 540 s</w:t>
      </w:r>
      <w:r w:rsidR="00792F00">
        <w:rPr>
          <w:color w:val="auto"/>
          <w:sz w:val="16"/>
          <w:szCs w:val="16"/>
        </w:rPr>
        <w:t>,</w:t>
      </w:r>
      <m:oMath>
        <m:r>
          <w:rPr>
            <w:rFonts w:ascii="Cambria Math" w:hAnsi="Cambria Math"/>
            <w:color w:val="auto"/>
            <w:sz w:val="16"/>
            <w:szCs w:val="16"/>
          </w:rPr>
          <m:t xml:space="preserve"> </m:t>
        </m:r>
        <m:r>
          <w:rPr>
            <w:rFonts w:ascii="Cambria Math" w:hAnsi="Cambria Math"/>
            <w:color w:val="auto"/>
            <w:sz w:val="16"/>
            <w:szCs w:val="16"/>
          </w:rPr>
          <m:t>θ=t/</m:t>
        </m:r>
        <m:acc>
          <m:accPr>
            <m:chr m:val="̅"/>
            <m:ctrlPr>
              <w:rPr>
                <w:rFonts w:ascii="Cambria Math" w:hAnsi="Cambria Math"/>
                <w:color w:val="auto"/>
                <w:sz w:val="16"/>
                <w:szCs w:val="16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color w:val="auto"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16"/>
                    <w:szCs w:val="16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auto"/>
                    <w:sz w:val="16"/>
                    <w:szCs w:val="16"/>
                  </w:rPr>
                  <m:t>r</m:t>
                </m:r>
              </m:sub>
            </m:sSub>
          </m:e>
        </m:acc>
      </m:oMath>
      <w:r w:rsidR="00792F00">
        <w:rPr>
          <w:color w:val="auto"/>
          <w:sz w:val="16"/>
          <w:szCs w:val="16"/>
        </w:rPr>
        <w:t>.</w:t>
      </w:r>
    </w:p>
    <w:p w:rsidR="001746C3" w:rsidRPr="00F52F51" w:rsidRDefault="00316ACD" w:rsidP="00316ACD">
      <w:pPr>
        <w:pStyle w:val="EndNoteBibliography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F7B28">
        <w:rPr>
          <w:rFonts w:ascii="Times New Roman" w:eastAsia="Times New Roman" w:hAnsi="Times New Roman" w:cs="Times New Roman"/>
          <w:sz w:val="20"/>
          <w:szCs w:val="25"/>
          <w:lang w:eastAsia="en-IN"/>
        </w:rPr>
        <w:fldChar w:fldCharType="begin"/>
      </w:r>
      <w:r w:rsidRPr="004F7B28">
        <w:rPr>
          <w:rFonts w:ascii="Times New Roman" w:eastAsia="Times New Roman" w:hAnsi="Times New Roman" w:cs="Times New Roman"/>
          <w:sz w:val="20"/>
          <w:szCs w:val="25"/>
          <w:lang w:eastAsia="en-IN"/>
        </w:rPr>
        <w:instrText xml:space="preserve"> ADDIN EN.REFLIST </w:instrText>
      </w:r>
      <w:r w:rsidRPr="004F7B28">
        <w:rPr>
          <w:rFonts w:ascii="Times New Roman" w:eastAsia="Times New Roman" w:hAnsi="Times New Roman" w:cs="Times New Roman"/>
          <w:sz w:val="20"/>
          <w:szCs w:val="25"/>
          <w:lang w:eastAsia="en-IN"/>
        </w:rPr>
        <w:fldChar w:fldCharType="separate"/>
      </w:r>
      <w:r w:rsidRPr="004F7B28">
        <w:rPr>
          <w:sz w:val="16"/>
        </w:rPr>
        <w:t>[1] E.D. Gomes, M.I. Mota, A.E. Rodrigues, Fractionation of acids, ketones and aldehydes from alkaline lignin oxidation solution with SP700 resin, Separation and Purification Technology, 194 (2018) 256-264.</w:t>
      </w:r>
      <w:r w:rsidRPr="004F7B28">
        <w:rPr>
          <w:rFonts w:ascii="Times New Roman" w:eastAsia="Times New Roman" w:hAnsi="Times New Roman" w:cs="Times New Roman"/>
          <w:sz w:val="20"/>
          <w:szCs w:val="25"/>
          <w:lang w:eastAsia="en-IN"/>
        </w:rPr>
        <w:fldChar w:fldCharType="end"/>
      </w:r>
      <w:r w:rsidR="001746C3" w:rsidRPr="000C646F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br w:type="page"/>
      </w:r>
    </w:p>
    <w:p w:rsidR="00FC37DB" w:rsidRPr="000C646F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0C646F">
        <w:rPr>
          <w:rFonts w:eastAsia="Times New Roman"/>
          <w:u w:val="single"/>
          <w:lang w:eastAsia="en-IN"/>
        </w:rPr>
        <w:lastRenderedPageBreak/>
        <w:t>Biography:</w:t>
      </w:r>
    </w:p>
    <w:p w:rsidR="006829C9" w:rsidRPr="000C646F" w:rsidRDefault="001746C3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>Elson D</w:t>
      </w:r>
      <w:r w:rsidR="00FA15BD">
        <w:rPr>
          <w:rFonts w:ascii="Times New Roman" w:eastAsia="Times New Roman" w:hAnsi="Times New Roman" w:cs="Times New Roman"/>
          <w:sz w:val="25"/>
          <w:szCs w:val="25"/>
          <w:lang w:eastAsia="en-IN"/>
        </w:rPr>
        <w:t>inis</w:t>
      </w:r>
      <w:r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Gomes is a PhD student at the Associate Laboratory LSRE-LCM Laboratory of Separation and Reaction Engineering - Laboratory of Catalysis and Materials in the Faculty of Engineering of</w:t>
      </w:r>
      <w:r w:rsidR="00FA15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 of Porto, currently w</w:t>
      </w:r>
      <w:r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orking under the </w:t>
      </w:r>
      <w:r w:rsidR="00FA15BD">
        <w:rPr>
          <w:rFonts w:ascii="Times New Roman" w:eastAsia="Times New Roman" w:hAnsi="Times New Roman" w:cs="Times New Roman"/>
          <w:sz w:val="25"/>
          <w:szCs w:val="25"/>
          <w:lang w:eastAsia="en-IN"/>
        </w:rPr>
        <w:t>orientation</w:t>
      </w:r>
      <w:r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</w:t>
      </w:r>
      <w:r w:rsidR="000C646F"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Emeritus Professor </w:t>
      </w:r>
      <w:r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Alírio </w:t>
      </w:r>
      <w:r w:rsidR="000C646F"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>E</w:t>
      </w:r>
      <w:r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>. Rodrigues</w:t>
      </w:r>
      <w:r w:rsidR="000C646F"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>. Received his Master</w:t>
      </w:r>
      <w:r w:rsid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>’</w:t>
      </w:r>
      <w:r w:rsidR="000C646F"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>s in Chemical Engineering in the same Faculty in 2014 and</w:t>
      </w:r>
      <w:r w:rsid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soon after</w:t>
      </w:r>
      <w:r w:rsidR="000C646F" w:rsidRP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started working with lignin</w:t>
      </w:r>
      <w:r w:rsidR="000C646F">
        <w:rPr>
          <w:rFonts w:ascii="Times New Roman" w:eastAsia="Times New Roman" w:hAnsi="Times New Roman" w:cs="Times New Roman"/>
          <w:sz w:val="25"/>
          <w:szCs w:val="25"/>
          <w:lang w:eastAsia="en-IN"/>
        </w:rPr>
        <w:t>, namely the production of value-added products from i</w:t>
      </w:r>
      <w:r w:rsidR="00FA15BD">
        <w:rPr>
          <w:rFonts w:ascii="Times New Roman" w:eastAsia="Times New Roman" w:hAnsi="Times New Roman" w:cs="Times New Roman"/>
          <w:sz w:val="25"/>
          <w:szCs w:val="25"/>
          <w:lang w:eastAsia="en-IN"/>
        </w:rPr>
        <w:t>t. Lately, his focus has been on the separation of lignin value-added products by adsorption processes and subsequent purification</w:t>
      </w:r>
    </w:p>
    <w:p w:rsidR="006829C9" w:rsidRPr="000C646F" w:rsidRDefault="006829C9" w:rsidP="006829C9">
      <w:pPr>
        <w:spacing w:after="0" w:line="240" w:lineRule="auto"/>
        <w:jc w:val="both"/>
      </w:pPr>
    </w:p>
    <w:p w:rsidR="00856B27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0C646F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6829C9" w:rsidRPr="000C646F" w:rsidRDefault="000C646F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>Lignin valorization, preparative chromatography, HPLC,</w:t>
      </w:r>
      <w:r w:rsidR="00FA15BD" w:rsidRP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membrane separation</w:t>
      </w:r>
      <w:r w:rsidRP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>,</w:t>
      </w:r>
      <w:r w:rsidR="00FA15BD" w:rsidRP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continuous alkaline wet oxidation, vanillin, syringaldehyde, apocynin</w:t>
      </w:r>
      <w:r w:rsidR="00792F00">
        <w:rPr>
          <w:rFonts w:ascii="Times New Roman" w:eastAsia="Times New Roman" w:hAnsi="Times New Roman" w:cs="Times New Roman"/>
          <w:sz w:val="25"/>
          <w:szCs w:val="25"/>
          <w:lang w:eastAsia="en-IN"/>
        </w:rPr>
        <w:t>, crystallization</w:t>
      </w:r>
      <w:r w:rsidR="00FA15BD" w:rsidRP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6829C9" w:rsidRPr="000C646F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856B27" w:rsidRDefault="004F7B28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</w:t>
      </w:r>
      <w:r w:rsidR="006829C9" w:rsidRPr="000C646F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:</w:t>
      </w:r>
    </w:p>
    <w:p w:rsidR="00FC37DB" w:rsidRPr="00856B27" w:rsidRDefault="00AB114C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hyperlink r:id="rId9" w:history="1">
        <w:r w:rsidR="00856B27" w:rsidRPr="003A6644">
          <w:rPr>
            <w:rStyle w:val="Hyperlink"/>
            <w:rFonts w:ascii="Times New Roman" w:eastAsia="Times New Roman" w:hAnsi="Times New Roman" w:cs="Times New Roman"/>
            <w:sz w:val="25"/>
            <w:szCs w:val="25"/>
            <w:lang w:eastAsia="en-IN"/>
          </w:rPr>
          <w:t>elson@fe.up.pt</w:t>
        </w:r>
      </w:hyperlink>
      <w:r w:rsid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; </w:t>
      </w:r>
      <w:hyperlink r:id="rId10" w:history="1">
        <w:r w:rsidR="00856B27" w:rsidRPr="003A6644">
          <w:rPr>
            <w:rStyle w:val="Hyperlink"/>
            <w:rFonts w:ascii="Times New Roman" w:eastAsia="Times New Roman" w:hAnsi="Times New Roman" w:cs="Times New Roman"/>
            <w:sz w:val="25"/>
            <w:szCs w:val="25"/>
            <w:lang w:eastAsia="en-IN"/>
          </w:rPr>
          <w:t>arodrig@fe.up.pt</w:t>
        </w:r>
      </w:hyperlink>
      <w:r w:rsid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4D4A62" w:rsidRPr="000C646F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856B27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0C646F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</w:p>
    <w:p w:rsidR="006829C9" w:rsidRPr="00856B27" w:rsidRDefault="0081346D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+351 916944334</w:t>
      </w:r>
    </w:p>
    <w:p w:rsidR="00856B27" w:rsidRPr="000C646F" w:rsidRDefault="00856B27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856B27" w:rsidRDefault="00794EA4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0C646F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Linked In account:</w:t>
      </w:r>
    </w:p>
    <w:p w:rsidR="00316ACD" w:rsidRDefault="0081346D" w:rsidP="00171EB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856B27">
        <w:rPr>
          <w:rFonts w:ascii="Times New Roman" w:eastAsia="Times New Roman" w:hAnsi="Times New Roman" w:cs="Times New Roman"/>
          <w:sz w:val="25"/>
          <w:szCs w:val="25"/>
          <w:lang w:eastAsia="en-IN"/>
        </w:rPr>
        <w:t>https://www.linkedin.com/in/elson-gomes-57611a84/</w:t>
      </w:r>
    </w:p>
    <w:p w:rsidR="00316ACD" w:rsidRDefault="00316ACD" w:rsidP="00171EB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Pr="00856B27" w:rsidRDefault="006829C9" w:rsidP="00171EBD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sectPr w:rsidR="006829C9" w:rsidRPr="00856B27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14C" w:rsidRDefault="00AB114C" w:rsidP="004A0988">
      <w:pPr>
        <w:spacing w:after="0" w:line="240" w:lineRule="auto"/>
      </w:pPr>
      <w:r>
        <w:separator/>
      </w:r>
    </w:p>
  </w:endnote>
  <w:endnote w:type="continuationSeparator" w:id="0">
    <w:p w:rsidR="00AB114C" w:rsidRDefault="00AB114C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14C" w:rsidRDefault="00AB114C" w:rsidP="004A0988">
      <w:pPr>
        <w:spacing w:after="0" w:line="240" w:lineRule="auto"/>
      </w:pPr>
      <w:r>
        <w:separator/>
      </w:r>
    </w:p>
  </w:footnote>
  <w:footnote w:type="continuationSeparator" w:id="0">
    <w:p w:rsidR="00AB114C" w:rsidRDefault="00AB114C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eparation Purification Tec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ffxzxe21ssswxexrw65v9stp95ewvvdsd9p&quot;&gt;primeira&lt;record-ids&gt;&lt;item&gt;2583&lt;/item&gt;&lt;/record-ids&gt;&lt;/item&gt;&lt;/Libraries&gt;"/>
  </w:docVars>
  <w:rsids>
    <w:rsidRoot w:val="00FC37DB"/>
    <w:rsid w:val="000C646F"/>
    <w:rsid w:val="00171EBD"/>
    <w:rsid w:val="001746C3"/>
    <w:rsid w:val="001773E2"/>
    <w:rsid w:val="00183E9A"/>
    <w:rsid w:val="001E7D40"/>
    <w:rsid w:val="00316ACD"/>
    <w:rsid w:val="0033784D"/>
    <w:rsid w:val="0049219B"/>
    <w:rsid w:val="004A0988"/>
    <w:rsid w:val="004A79B5"/>
    <w:rsid w:val="004B0551"/>
    <w:rsid w:val="004D06E0"/>
    <w:rsid w:val="004D4A62"/>
    <w:rsid w:val="004F2EFF"/>
    <w:rsid w:val="004F7B28"/>
    <w:rsid w:val="005116CB"/>
    <w:rsid w:val="00524342"/>
    <w:rsid w:val="005B73FC"/>
    <w:rsid w:val="006829C9"/>
    <w:rsid w:val="007257BF"/>
    <w:rsid w:val="007820FA"/>
    <w:rsid w:val="00792F00"/>
    <w:rsid w:val="00794EA4"/>
    <w:rsid w:val="0081346D"/>
    <w:rsid w:val="00835750"/>
    <w:rsid w:val="00856B27"/>
    <w:rsid w:val="008921C0"/>
    <w:rsid w:val="008C3271"/>
    <w:rsid w:val="009A22FE"/>
    <w:rsid w:val="009A5A78"/>
    <w:rsid w:val="009E0CC5"/>
    <w:rsid w:val="00A26311"/>
    <w:rsid w:val="00A3017E"/>
    <w:rsid w:val="00AA32A9"/>
    <w:rsid w:val="00AB114C"/>
    <w:rsid w:val="00B163F7"/>
    <w:rsid w:val="00BE6CB1"/>
    <w:rsid w:val="00C643B3"/>
    <w:rsid w:val="00CB32D1"/>
    <w:rsid w:val="00D85DBF"/>
    <w:rsid w:val="00F040DB"/>
    <w:rsid w:val="00F52F51"/>
    <w:rsid w:val="00FA15BD"/>
    <w:rsid w:val="00FB2316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507CA1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56B27"/>
    <w:rPr>
      <w:color w:val="2998E3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A32A9"/>
    <w:pPr>
      <w:spacing w:line="240" w:lineRule="auto"/>
    </w:pPr>
    <w:rPr>
      <w:i/>
      <w:iCs/>
      <w:color w:val="637052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16ACD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Heading1Char"/>
    <w:link w:val="EndNoteBibliographyTitle"/>
    <w:rsid w:val="00316ACD"/>
    <w:rPr>
      <w:rFonts w:ascii="Calibri" w:eastAsiaTheme="majorEastAsia" w:hAnsi="Calibri" w:cstheme="majorBidi"/>
      <w:noProof/>
      <w:color w:val="AA610D" w:themeColor="accent1" w:themeShade="BF"/>
      <w:sz w:val="32"/>
      <w:szCs w:val="3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16ACD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Heading1Char"/>
    <w:link w:val="EndNoteBibliography"/>
    <w:rsid w:val="00316ACD"/>
    <w:rPr>
      <w:rFonts w:ascii="Calibri" w:eastAsiaTheme="majorEastAsia" w:hAnsi="Calibri" w:cstheme="majorBidi"/>
      <w:noProof/>
      <w:color w:val="AA610D" w:themeColor="accent1" w:themeShade="BF"/>
      <w:sz w:val="32"/>
      <w:szCs w:val="32"/>
      <w:lang w:val="en-US"/>
    </w:rPr>
  </w:style>
  <w:style w:type="character" w:styleId="PlaceholderText">
    <w:name w:val="Placeholder Text"/>
    <w:basedOn w:val="DefaultParagraphFont"/>
    <w:uiPriority w:val="99"/>
    <w:semiHidden/>
    <w:rsid w:val="004F7B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rodrig@fe.up.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son@fe.up.pt" TargetMode="Externa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81F1D-8AB4-4732-B073-995E5BE7D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Utilizador</cp:lastModifiedBy>
  <cp:revision>2</cp:revision>
  <dcterms:created xsi:type="dcterms:W3CDTF">2018-03-23T14:53:00Z</dcterms:created>
  <dcterms:modified xsi:type="dcterms:W3CDTF">2018-03-23T14:53:00Z</dcterms:modified>
</cp:coreProperties>
</file>