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B83CA" w14:textId="4859C951"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r w:rsidR="002E7051">
        <w:rPr>
          <w:noProof/>
        </w:rPr>
        <w:drawing>
          <wp:inline distT="0" distB="0" distL="0" distR="0" wp14:anchorId="272B4FEB" wp14:editId="43A5BD3E">
            <wp:extent cx="1111211" cy="12960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0789" cy="1330532"/>
                    </a:xfrm>
                    <a:prstGeom prst="rect">
                      <a:avLst/>
                    </a:prstGeom>
                    <a:noFill/>
                    <a:ln>
                      <a:noFill/>
                    </a:ln>
                  </pic:spPr>
                </pic:pic>
              </a:graphicData>
            </a:graphic>
          </wp:inline>
        </w:drawing>
      </w:r>
      <w:r>
        <w:rPr>
          <w:rFonts w:ascii="Times New Roman" w:eastAsia="Times New Roman" w:hAnsi="Times New Roman" w:cs="Times New Roman"/>
          <w:sz w:val="25"/>
          <w:szCs w:val="25"/>
          <w:lang w:eastAsia="en-IN"/>
        </w:rPr>
        <w:t xml:space="preserve">                                                     </w:t>
      </w:r>
    </w:p>
    <w:p w14:paraId="759BE2F3" w14:textId="67167C61"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2E7051" w:rsidRPr="002E7051">
        <w:t xml:space="preserve"> </w:t>
      </w:r>
    </w:p>
    <w:p w14:paraId="785E8D2B" w14:textId="77777777" w:rsidR="004D4A62" w:rsidRDefault="004D4A62" w:rsidP="00FC37DB">
      <w:pPr>
        <w:spacing w:after="0" w:line="240" w:lineRule="auto"/>
        <w:jc w:val="both"/>
        <w:rPr>
          <w:rFonts w:ascii="Times New Roman" w:eastAsia="Times New Roman" w:hAnsi="Times New Roman" w:cs="Times New Roman"/>
          <w:i/>
          <w:sz w:val="25"/>
          <w:szCs w:val="25"/>
          <w:lang w:eastAsia="en-IN"/>
        </w:rPr>
      </w:pPr>
    </w:p>
    <w:p w14:paraId="63ED0B20" w14:textId="5D176722" w:rsidR="002E7051" w:rsidRDefault="00FC37DB" w:rsidP="002E7051">
      <w:pPr>
        <w:pStyle w:val="Heading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136650">
        <w:rPr>
          <w:rFonts w:eastAsia="Times New Roman"/>
          <w:b/>
          <w:color w:val="auto"/>
          <w:lang w:eastAsia="en-IN"/>
        </w:rPr>
        <w:t>Ar</w:t>
      </w:r>
      <w:r w:rsidR="00136650" w:rsidRPr="00136650">
        <w:rPr>
          <w:rFonts w:eastAsia="Times New Roman"/>
          <w:b/>
          <w:color w:val="auto"/>
          <w:lang w:eastAsia="en-IN"/>
        </w:rPr>
        <w:t>oma profiling of pet food using high-capacity sorptive extraction and TD–GC×GC–TOF MS</w:t>
      </w:r>
    </w:p>
    <w:p w14:paraId="56893BB6" w14:textId="601BF4E0" w:rsidR="00FC37DB" w:rsidRPr="004A0988" w:rsidRDefault="00794EA4" w:rsidP="002E7051">
      <w:pPr>
        <w:pStyle w:val="Heading2"/>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2E7051">
        <w:rPr>
          <w:rFonts w:ascii="Times New Roman" w:eastAsia="Times New Roman" w:hAnsi="Times New Roman" w:cs="Times New Roman"/>
          <w:i/>
          <w:color w:val="0070C0"/>
          <w:sz w:val="25"/>
          <w:szCs w:val="25"/>
          <w:lang w:eastAsia="en-IN"/>
        </w:rPr>
        <w:t xml:space="preserve"> Aaron Parker</w:t>
      </w:r>
    </w:p>
    <w:p w14:paraId="69C48B48" w14:textId="1AA3651A"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2E7051">
        <w:rPr>
          <w:rFonts w:ascii="Times New Roman" w:eastAsia="Times New Roman" w:hAnsi="Times New Roman" w:cs="Times New Roman"/>
          <w:i/>
          <w:color w:val="0070C0"/>
          <w:sz w:val="25"/>
          <w:szCs w:val="25"/>
          <w:lang w:eastAsia="en-IN"/>
        </w:rPr>
        <w:t xml:space="preserve"> SepSolve Analytical </w:t>
      </w:r>
    </w:p>
    <w:p w14:paraId="55046798" w14:textId="377D1DCC"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2E7051">
        <w:rPr>
          <w:rFonts w:ascii="Times New Roman" w:eastAsia="Times New Roman" w:hAnsi="Times New Roman" w:cs="Times New Roman"/>
          <w:i/>
          <w:color w:val="0070C0"/>
          <w:sz w:val="25"/>
          <w:szCs w:val="25"/>
          <w:lang w:eastAsia="en-IN"/>
        </w:rPr>
        <w:t>UK</w:t>
      </w:r>
      <w:r w:rsidR="006829C9" w:rsidRPr="004A0988">
        <w:rPr>
          <w:rFonts w:ascii="Times New Roman" w:eastAsia="Times New Roman" w:hAnsi="Times New Roman" w:cs="Times New Roman"/>
          <w:i/>
          <w:color w:val="0070C0"/>
          <w:sz w:val="25"/>
          <w:szCs w:val="25"/>
          <w:lang w:eastAsia="en-IN"/>
        </w:rPr>
        <w:t xml:space="preserve">                                                                                               </w:t>
      </w:r>
    </w:p>
    <w:p w14:paraId="25071474" w14:textId="035BF1BE"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r w:rsidR="00136650">
        <w:rPr>
          <w:rFonts w:ascii="Times New Roman" w:eastAsia="Times New Roman" w:hAnsi="Times New Roman" w:cs="Times New Roman"/>
          <w:i/>
          <w:color w:val="0070C0"/>
          <w:sz w:val="25"/>
          <w:szCs w:val="25"/>
          <w:lang w:eastAsia="en-IN"/>
        </w:rPr>
        <w:t>21</w:t>
      </w:r>
    </w:p>
    <w:p w14:paraId="673212AE" w14:textId="77777777" w:rsidR="00136650" w:rsidRDefault="00794EA4" w:rsidP="00136650">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w:t>
      </w:r>
      <w:r w:rsidR="002E7051">
        <w:rPr>
          <w:rFonts w:ascii="Times New Roman" w:eastAsia="Times New Roman" w:hAnsi="Times New Roman" w:cs="Times New Roman"/>
          <w:i/>
          <w:color w:val="0070C0"/>
          <w:sz w:val="25"/>
          <w:szCs w:val="25"/>
          <w:lang w:eastAsia="en-IN"/>
        </w:rPr>
        <w:t xml:space="preserve"> </w:t>
      </w:r>
      <w:r w:rsidR="00136650">
        <w:rPr>
          <w:rFonts w:ascii="Times New Roman" w:eastAsia="Times New Roman" w:hAnsi="Times New Roman" w:cs="Times New Roman"/>
          <w:i/>
          <w:color w:val="0070C0"/>
          <w:sz w:val="25"/>
          <w:szCs w:val="25"/>
          <w:lang w:eastAsia="en-IN"/>
        </w:rPr>
        <w:t>Poster</w:t>
      </w:r>
      <w:r w:rsidRPr="00794EA4">
        <w:rPr>
          <w:rFonts w:ascii="Times New Roman" w:eastAsia="Times New Roman" w:hAnsi="Times New Roman" w:cs="Times New Roman"/>
          <w:i/>
          <w:color w:val="0070C0"/>
          <w:sz w:val="25"/>
          <w:szCs w:val="25"/>
          <w:lang w:eastAsia="en-IN"/>
        </w:rPr>
        <w:t xml:space="preserve"> presentation</w:t>
      </w:r>
      <w:r>
        <w:rPr>
          <w:rFonts w:ascii="Times New Roman" w:eastAsia="Times New Roman" w:hAnsi="Times New Roman" w:cs="Times New Roman"/>
          <w:i/>
          <w:color w:val="0070C0"/>
          <w:sz w:val="25"/>
          <w:szCs w:val="25"/>
          <w:lang w:eastAsia="en-IN"/>
        </w:rPr>
        <w:t xml:space="preserve"> </w:t>
      </w:r>
    </w:p>
    <w:p w14:paraId="3A9B9CB0" w14:textId="5AE7F0AB" w:rsidR="00136650" w:rsidRPr="00171EBD" w:rsidRDefault="00136650" w:rsidP="00136650">
      <w:pPr>
        <w:pStyle w:val="Heading1"/>
        <w:jc w:val="both"/>
        <w:rPr>
          <w:rFonts w:eastAsia="Times New Roman"/>
          <w:u w:val="single"/>
          <w:lang w:eastAsia="en-IN"/>
        </w:rPr>
      </w:pPr>
      <w:r>
        <w:rPr>
          <w:rFonts w:eastAsia="Times New Roman"/>
          <w:u w:val="single"/>
          <w:lang w:eastAsia="en-IN"/>
        </w:rPr>
        <w:t>Abstract</w:t>
      </w:r>
      <w:r w:rsidRPr="00171EBD">
        <w:rPr>
          <w:rFonts w:eastAsia="Times New Roman"/>
          <w:u w:val="single"/>
          <w:lang w:eastAsia="en-IN"/>
        </w:rPr>
        <w:t>:</w:t>
      </w:r>
    </w:p>
    <w:p w14:paraId="1538ABCA" w14:textId="7ED6CF38" w:rsidR="00136650" w:rsidRPr="00136650" w:rsidRDefault="00136650" w:rsidP="00136650">
      <w:pPr>
        <w:spacing w:after="0" w:line="240" w:lineRule="auto"/>
        <w:jc w:val="both"/>
        <w:rPr>
          <w:rFonts w:ascii="Times New Roman" w:eastAsia="Times New Roman" w:hAnsi="Times New Roman" w:cs="Times New Roman"/>
          <w:sz w:val="25"/>
          <w:szCs w:val="25"/>
          <w:lang w:eastAsia="en-IN"/>
        </w:rPr>
      </w:pPr>
      <w:r w:rsidRPr="00136650">
        <w:rPr>
          <w:rFonts w:ascii="Times New Roman" w:eastAsia="Times New Roman" w:hAnsi="Times New Roman" w:cs="Times New Roman"/>
          <w:sz w:val="25"/>
          <w:szCs w:val="25"/>
          <w:lang w:eastAsia="en-IN"/>
        </w:rPr>
        <w:t xml:space="preserve">Pet food manufacturers place great importance on the aroma of their products, as off-odours may be unappealing to both the pets and their owners. Confident identification of the volatile organic compounds (VOCs) from pet food can help these companies better understand the factors governing the release of pleasant and unpleasant aromas. VOC aroma profiles are typically analysed by solid-phase micro-extraction (SPME), which although a fast and simple technique, can be limited in terms of sample capacity, reproducibility and sensitivity. </w:t>
      </w:r>
    </w:p>
    <w:p w14:paraId="71A18A35" w14:textId="77777777" w:rsidR="00136650" w:rsidRPr="00136650" w:rsidRDefault="00136650" w:rsidP="00136650">
      <w:pPr>
        <w:pStyle w:val="Heading1"/>
        <w:jc w:val="both"/>
        <w:rPr>
          <w:rFonts w:ascii="Times New Roman" w:eastAsia="Times New Roman" w:hAnsi="Times New Roman" w:cs="Times New Roman"/>
          <w:color w:val="auto"/>
          <w:sz w:val="25"/>
          <w:szCs w:val="25"/>
          <w:lang w:eastAsia="en-IN"/>
        </w:rPr>
      </w:pPr>
      <w:r w:rsidRPr="00136650">
        <w:rPr>
          <w:rFonts w:ascii="Times New Roman" w:eastAsia="Times New Roman" w:hAnsi="Times New Roman" w:cs="Times New Roman"/>
          <w:color w:val="auto"/>
          <w:sz w:val="25"/>
          <w:szCs w:val="25"/>
          <w:lang w:eastAsia="en-IN"/>
        </w:rPr>
        <w:t>An alternative to SPME is high-capacity probe-based sorptive extraction, which results in higher sample loadings because of the large volume of PDMS phase. Typically, a SPME fiber has a sorbent volume of just 0.5 µL, while the sorptive extraction probes used in this study contain 65 µL of sorbent. When used in conjunction with secondary refocusing by thermal desorption (TD), the result is greater sensitivity across a wide analyte range.</w:t>
      </w:r>
    </w:p>
    <w:p w14:paraId="7EA47C55" w14:textId="77777777" w:rsidR="00136650" w:rsidRPr="00136650" w:rsidRDefault="00136650" w:rsidP="00136650">
      <w:pPr>
        <w:pStyle w:val="Heading1"/>
        <w:jc w:val="both"/>
        <w:rPr>
          <w:rFonts w:ascii="Times New Roman" w:eastAsia="Times New Roman" w:hAnsi="Times New Roman" w:cs="Times New Roman"/>
          <w:color w:val="auto"/>
          <w:sz w:val="25"/>
          <w:szCs w:val="25"/>
          <w:lang w:eastAsia="en-IN"/>
        </w:rPr>
      </w:pPr>
      <w:r w:rsidRPr="00136650">
        <w:rPr>
          <w:rFonts w:ascii="Times New Roman" w:eastAsia="Times New Roman" w:hAnsi="Times New Roman" w:cs="Times New Roman"/>
          <w:color w:val="auto"/>
          <w:sz w:val="25"/>
          <w:szCs w:val="25"/>
          <w:lang w:eastAsia="en-IN"/>
        </w:rPr>
        <w:t>Further analytical benefits can be achieved for analyte separation and detection, by using comprehensive two-dimensional gas chromatography coupled with time-of-flight mass spectrometry (GC×GC–TOF MS). The enhanced separation capacity of this approach is ideal for handling the complex aroma samples of pet food, because it allows the entire composition to be screened in a single analysis, with confident identification of compounds that would ordinarily co-elute.</w:t>
      </w:r>
    </w:p>
    <w:p w14:paraId="669290F5" w14:textId="77777777" w:rsidR="00136650" w:rsidRDefault="00136650" w:rsidP="00136650">
      <w:pPr>
        <w:pStyle w:val="Heading1"/>
        <w:jc w:val="both"/>
        <w:rPr>
          <w:rFonts w:ascii="Times New Roman" w:eastAsia="Times New Roman" w:hAnsi="Times New Roman" w:cs="Times New Roman"/>
          <w:color w:val="auto"/>
          <w:sz w:val="25"/>
          <w:szCs w:val="25"/>
          <w:lang w:eastAsia="en-IN"/>
        </w:rPr>
      </w:pPr>
      <w:r>
        <w:rPr>
          <w:rFonts w:ascii="Times New Roman" w:eastAsia="Times New Roman" w:hAnsi="Times New Roman" w:cs="Times New Roman"/>
          <w:color w:val="auto"/>
          <w:sz w:val="25"/>
          <w:szCs w:val="25"/>
          <w:lang w:eastAsia="en-IN"/>
        </w:rPr>
        <w:t>Here</w:t>
      </w:r>
      <w:r w:rsidRPr="00136650">
        <w:rPr>
          <w:rFonts w:ascii="Times New Roman" w:eastAsia="Times New Roman" w:hAnsi="Times New Roman" w:cs="Times New Roman"/>
          <w:color w:val="auto"/>
          <w:sz w:val="25"/>
          <w:szCs w:val="25"/>
          <w:lang w:eastAsia="en-IN"/>
        </w:rPr>
        <w:t xml:space="preserve"> we demonstrate the value of high-capacity sorptive extraction with TD–GC×GC–TOF MS to investigate the volatile compounds present in the headspace of pet food, and discuss how these compounds might influence their aroma profiles. </w:t>
      </w:r>
    </w:p>
    <w:p w14:paraId="08AD6946" w14:textId="5876F49A" w:rsidR="00FC37DB" w:rsidRPr="00171EBD" w:rsidRDefault="00FC37DB" w:rsidP="00136650">
      <w:pPr>
        <w:pStyle w:val="Heading1"/>
        <w:jc w:val="both"/>
        <w:rPr>
          <w:rFonts w:eastAsia="Times New Roman"/>
          <w:u w:val="single"/>
          <w:lang w:eastAsia="en-IN"/>
        </w:rPr>
      </w:pPr>
      <w:r w:rsidRPr="00171EBD">
        <w:rPr>
          <w:rFonts w:eastAsia="Times New Roman"/>
          <w:u w:val="single"/>
          <w:lang w:eastAsia="en-IN"/>
        </w:rPr>
        <w:t>Biography:</w:t>
      </w:r>
    </w:p>
    <w:p w14:paraId="7FAC6869" w14:textId="77777777"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14:paraId="142E7703" w14:textId="236936A7" w:rsidR="006829C9" w:rsidRPr="00FC37DB" w:rsidRDefault="009D1CDF" w:rsidP="009D1CDF">
      <w:pPr>
        <w:spacing w:after="0" w:line="240" w:lineRule="auto"/>
        <w:jc w:val="both"/>
        <w:rPr>
          <w:rFonts w:ascii="Times New Roman" w:eastAsia="Times New Roman" w:hAnsi="Times New Roman" w:cs="Times New Roman"/>
          <w:sz w:val="25"/>
          <w:szCs w:val="25"/>
          <w:lang w:eastAsia="en-IN"/>
        </w:rPr>
      </w:pPr>
      <w:r w:rsidRPr="009D1CDF">
        <w:rPr>
          <w:rFonts w:ascii="Times New Roman" w:eastAsia="Times New Roman" w:hAnsi="Times New Roman" w:cs="Times New Roman"/>
          <w:sz w:val="25"/>
          <w:szCs w:val="25"/>
          <w:lang w:eastAsia="en-IN"/>
        </w:rPr>
        <w:lastRenderedPageBreak/>
        <w:t xml:space="preserve">Aaron studied chemistry at the University of York and following this spent six years working within an environmental analytical laboratory, where he was responsible for developing analytical methods to accredited status for multiple analytical instruments, specialising in GC–MS. In his current position, he is responsible for supporting SepSolve’s customers and carrying </w:t>
      </w:r>
      <w:bookmarkStart w:id="0" w:name="_GoBack"/>
      <w:bookmarkEnd w:id="0"/>
      <w:r w:rsidRPr="009D1CDF">
        <w:rPr>
          <w:rFonts w:ascii="Times New Roman" w:eastAsia="Times New Roman" w:hAnsi="Times New Roman" w:cs="Times New Roman"/>
          <w:sz w:val="25"/>
          <w:szCs w:val="25"/>
          <w:lang w:eastAsia="en-IN"/>
        </w:rPr>
        <w:t>out business development activities in Europe.</w:t>
      </w:r>
    </w:p>
    <w:sectPr w:rsidR="006829C9" w:rsidRPr="00FC37DB"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90155" w14:textId="77777777" w:rsidR="006F22CB" w:rsidRDefault="006F22CB" w:rsidP="004A0988">
      <w:pPr>
        <w:spacing w:after="0" w:line="240" w:lineRule="auto"/>
      </w:pPr>
      <w:r>
        <w:separator/>
      </w:r>
    </w:p>
  </w:endnote>
  <w:endnote w:type="continuationSeparator" w:id="0">
    <w:p w14:paraId="7ED25241" w14:textId="77777777" w:rsidR="006F22CB" w:rsidRDefault="006F22CB"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8DC27" w14:textId="77777777" w:rsidR="006F22CB" w:rsidRDefault="006F22CB" w:rsidP="004A0988">
      <w:pPr>
        <w:spacing w:after="0" w:line="240" w:lineRule="auto"/>
      </w:pPr>
      <w:r>
        <w:separator/>
      </w:r>
    </w:p>
  </w:footnote>
  <w:footnote w:type="continuationSeparator" w:id="0">
    <w:p w14:paraId="005E3194" w14:textId="77777777" w:rsidR="006F22CB" w:rsidRDefault="006F22CB"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DB"/>
    <w:rsid w:val="00136650"/>
    <w:rsid w:val="00171EBD"/>
    <w:rsid w:val="001815F9"/>
    <w:rsid w:val="002E7051"/>
    <w:rsid w:val="0033784D"/>
    <w:rsid w:val="004A0988"/>
    <w:rsid w:val="004B0551"/>
    <w:rsid w:val="004D06E0"/>
    <w:rsid w:val="004D4A62"/>
    <w:rsid w:val="005116CB"/>
    <w:rsid w:val="006829C9"/>
    <w:rsid w:val="006F22CB"/>
    <w:rsid w:val="007257BF"/>
    <w:rsid w:val="00794EA4"/>
    <w:rsid w:val="00835750"/>
    <w:rsid w:val="008921C0"/>
    <w:rsid w:val="008C3271"/>
    <w:rsid w:val="009A22FE"/>
    <w:rsid w:val="009A5A78"/>
    <w:rsid w:val="009D1CDF"/>
    <w:rsid w:val="009E0CC5"/>
    <w:rsid w:val="00A26311"/>
    <w:rsid w:val="00A3017E"/>
    <w:rsid w:val="00B163F7"/>
    <w:rsid w:val="00BD0977"/>
    <w:rsid w:val="00BE6CB1"/>
    <w:rsid w:val="00C643B3"/>
    <w:rsid w:val="00F040D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FED3D"/>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character" w:styleId="CommentReference">
    <w:name w:val="annotation reference"/>
    <w:basedOn w:val="DefaultParagraphFont"/>
    <w:uiPriority w:val="99"/>
    <w:semiHidden/>
    <w:unhideWhenUsed/>
    <w:rsid w:val="00136650"/>
    <w:rPr>
      <w:sz w:val="16"/>
      <w:szCs w:val="16"/>
    </w:rPr>
  </w:style>
  <w:style w:type="paragraph" w:styleId="CommentText">
    <w:name w:val="annotation text"/>
    <w:basedOn w:val="Normal"/>
    <w:link w:val="CommentTextChar"/>
    <w:uiPriority w:val="99"/>
    <w:semiHidden/>
    <w:unhideWhenUsed/>
    <w:rsid w:val="00136650"/>
    <w:pPr>
      <w:spacing w:line="240" w:lineRule="auto"/>
    </w:pPr>
    <w:rPr>
      <w:sz w:val="20"/>
      <w:szCs w:val="20"/>
    </w:rPr>
  </w:style>
  <w:style w:type="character" w:customStyle="1" w:styleId="CommentTextChar">
    <w:name w:val="Comment Text Char"/>
    <w:basedOn w:val="DefaultParagraphFont"/>
    <w:link w:val="CommentText"/>
    <w:uiPriority w:val="99"/>
    <w:semiHidden/>
    <w:rsid w:val="00136650"/>
    <w:rPr>
      <w:sz w:val="20"/>
      <w:szCs w:val="20"/>
    </w:rPr>
  </w:style>
  <w:style w:type="paragraph" w:styleId="CommentSubject">
    <w:name w:val="annotation subject"/>
    <w:basedOn w:val="CommentText"/>
    <w:next w:val="CommentText"/>
    <w:link w:val="CommentSubjectChar"/>
    <w:uiPriority w:val="99"/>
    <w:semiHidden/>
    <w:unhideWhenUsed/>
    <w:rsid w:val="00136650"/>
    <w:rPr>
      <w:b/>
      <w:bCs/>
    </w:rPr>
  </w:style>
  <w:style w:type="character" w:customStyle="1" w:styleId="CommentSubjectChar">
    <w:name w:val="Comment Subject Char"/>
    <w:basedOn w:val="CommentTextChar"/>
    <w:link w:val="CommentSubject"/>
    <w:uiPriority w:val="99"/>
    <w:semiHidden/>
    <w:rsid w:val="001366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57BFE-79A7-405F-8E5A-1EEF1D1E7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Laura McGregor</cp:lastModifiedBy>
  <cp:revision>2</cp:revision>
  <dcterms:created xsi:type="dcterms:W3CDTF">2018-02-23T14:28:00Z</dcterms:created>
  <dcterms:modified xsi:type="dcterms:W3CDTF">2018-02-23T14:28:00Z</dcterms:modified>
</cp:coreProperties>
</file>