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B83CA" w14:textId="4859C951"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2E7051">
        <w:rPr>
          <w:noProof/>
        </w:rPr>
        <w:drawing>
          <wp:inline distT="0" distB="0" distL="0" distR="0" wp14:anchorId="272B4FEB" wp14:editId="43A5BD3E">
            <wp:extent cx="1111211" cy="1296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0789" cy="1330532"/>
                    </a:xfrm>
                    <a:prstGeom prst="rect">
                      <a:avLst/>
                    </a:prstGeom>
                    <a:noFill/>
                    <a:ln>
                      <a:noFill/>
                    </a:ln>
                  </pic:spPr>
                </pic:pic>
              </a:graphicData>
            </a:graphic>
          </wp:inline>
        </w:drawing>
      </w:r>
      <w:r>
        <w:rPr>
          <w:rFonts w:ascii="Times New Roman" w:eastAsia="Times New Roman" w:hAnsi="Times New Roman" w:cs="Times New Roman"/>
          <w:sz w:val="25"/>
          <w:szCs w:val="25"/>
          <w:lang w:eastAsia="en-IN"/>
        </w:rPr>
        <w:t xml:space="preserve">                                                     </w:t>
      </w:r>
    </w:p>
    <w:p w14:paraId="759BE2F3" w14:textId="67167C61"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2E7051" w:rsidRPr="002E7051">
        <w:t xml:space="preserve"> </w:t>
      </w:r>
    </w:p>
    <w:p w14:paraId="785E8D2B"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63ED0B20" w14:textId="78F3FB0A" w:rsidR="002E7051" w:rsidRDefault="00FC37DB" w:rsidP="002E7051">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2E7051">
        <w:rPr>
          <w:rFonts w:eastAsia="Times New Roman"/>
          <w:b/>
          <w:color w:val="auto"/>
          <w:lang w:eastAsia="en-IN"/>
        </w:rPr>
        <w:t>D</w:t>
      </w:r>
      <w:r w:rsidR="002E7051" w:rsidRPr="002E7051">
        <w:rPr>
          <w:rFonts w:eastAsia="Times New Roman"/>
          <w:b/>
          <w:color w:val="auto"/>
          <w:lang w:eastAsia="en-IN"/>
        </w:rPr>
        <w:t>ual-channel GC×GC-FID for routine TPH analyses</w:t>
      </w:r>
    </w:p>
    <w:p w14:paraId="56893BB6" w14:textId="601BF4E0" w:rsidR="00FC37DB" w:rsidRPr="004A0988" w:rsidRDefault="00794EA4" w:rsidP="002E7051">
      <w:pPr>
        <w:pStyle w:val="Heading2"/>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2E7051">
        <w:rPr>
          <w:rFonts w:ascii="Times New Roman" w:eastAsia="Times New Roman" w:hAnsi="Times New Roman" w:cs="Times New Roman"/>
          <w:i/>
          <w:color w:val="0070C0"/>
          <w:sz w:val="25"/>
          <w:szCs w:val="25"/>
          <w:lang w:eastAsia="en-IN"/>
        </w:rPr>
        <w:t xml:space="preserve"> Aaron Parker</w:t>
      </w:r>
    </w:p>
    <w:p w14:paraId="69C48B48" w14:textId="1AA3651A"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2E7051">
        <w:rPr>
          <w:rFonts w:ascii="Times New Roman" w:eastAsia="Times New Roman" w:hAnsi="Times New Roman" w:cs="Times New Roman"/>
          <w:i/>
          <w:color w:val="0070C0"/>
          <w:sz w:val="25"/>
          <w:szCs w:val="25"/>
          <w:lang w:eastAsia="en-IN"/>
        </w:rPr>
        <w:t xml:space="preserve"> SepSolve Analytical </w:t>
      </w:r>
    </w:p>
    <w:p w14:paraId="55046798" w14:textId="377D1DCC"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2E7051">
        <w:rPr>
          <w:rFonts w:ascii="Times New Roman" w:eastAsia="Times New Roman" w:hAnsi="Times New Roman" w:cs="Times New Roman"/>
          <w:i/>
          <w:color w:val="0070C0"/>
          <w:sz w:val="25"/>
          <w:szCs w:val="25"/>
          <w:lang w:eastAsia="en-IN"/>
        </w:rPr>
        <w:t>UK</w:t>
      </w:r>
      <w:r w:rsidR="006829C9" w:rsidRPr="004A0988">
        <w:rPr>
          <w:rFonts w:ascii="Times New Roman" w:eastAsia="Times New Roman" w:hAnsi="Times New Roman" w:cs="Times New Roman"/>
          <w:i/>
          <w:color w:val="0070C0"/>
          <w:sz w:val="25"/>
          <w:szCs w:val="25"/>
          <w:lang w:eastAsia="en-IN"/>
        </w:rPr>
        <w:t xml:space="preserve">                                                                                               </w:t>
      </w:r>
    </w:p>
    <w:p w14:paraId="25071474" w14:textId="7F77F4B2"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2E7051">
        <w:rPr>
          <w:rFonts w:ascii="Times New Roman" w:eastAsia="Times New Roman" w:hAnsi="Times New Roman" w:cs="Times New Roman"/>
          <w:i/>
          <w:color w:val="0070C0"/>
          <w:sz w:val="25"/>
          <w:szCs w:val="25"/>
          <w:lang w:eastAsia="en-IN"/>
        </w:rPr>
        <w:t>14</w:t>
      </w:r>
    </w:p>
    <w:p w14:paraId="1BA85EA4" w14:textId="3887EAD5"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w:t>
      </w:r>
      <w:r w:rsidR="002E7051">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Oral presentation</w:t>
      </w:r>
      <w:r>
        <w:rPr>
          <w:rFonts w:ascii="Times New Roman" w:eastAsia="Times New Roman" w:hAnsi="Times New Roman" w:cs="Times New Roman"/>
          <w:i/>
          <w:color w:val="0070C0"/>
          <w:sz w:val="25"/>
          <w:szCs w:val="25"/>
          <w:lang w:eastAsia="en-IN"/>
        </w:rPr>
        <w:t xml:space="preserve"> </w:t>
      </w:r>
    </w:p>
    <w:p w14:paraId="494A0482" w14:textId="77777777" w:rsidR="002E7051" w:rsidRPr="002E7051" w:rsidRDefault="006829C9" w:rsidP="002E7051">
      <w:pPr>
        <w:pStyle w:val="Heading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2E7051" w:rsidRPr="002E7051">
        <w:rPr>
          <w:rFonts w:ascii="Times New Roman" w:eastAsia="Times New Roman" w:hAnsi="Times New Roman" w:cs="Times New Roman"/>
          <w:color w:val="auto"/>
          <w:sz w:val="25"/>
          <w:szCs w:val="25"/>
          <w:lang w:eastAsia="en-IN"/>
        </w:rPr>
        <w:t xml:space="preserve">The determination of aliphatic/aromatic compounds when performing Total Petroleum Hydrocarbon (TPH) analysis is typically a lengthy process – with solid phase extraction (SPE) to separate aliphatics into hexane and aromatics into dichloromethane, prior to two separate GC analyses per sample. </w:t>
      </w:r>
    </w:p>
    <w:p w14:paraId="70E77281" w14:textId="77777777" w:rsidR="002E7051" w:rsidRPr="002E7051" w:rsidRDefault="002E7051" w:rsidP="002E7051">
      <w:pPr>
        <w:pStyle w:val="Heading1"/>
        <w:jc w:val="both"/>
        <w:rPr>
          <w:rFonts w:ascii="Times New Roman" w:eastAsia="Times New Roman" w:hAnsi="Times New Roman" w:cs="Times New Roman"/>
          <w:color w:val="auto"/>
          <w:sz w:val="25"/>
          <w:szCs w:val="25"/>
          <w:lang w:eastAsia="en-IN"/>
        </w:rPr>
      </w:pPr>
      <w:r w:rsidRPr="002E7051">
        <w:rPr>
          <w:rFonts w:ascii="Times New Roman" w:eastAsia="Times New Roman" w:hAnsi="Times New Roman" w:cs="Times New Roman"/>
          <w:color w:val="auto"/>
          <w:sz w:val="25"/>
          <w:szCs w:val="25"/>
          <w:lang w:eastAsia="en-IN"/>
        </w:rPr>
        <w:t xml:space="preserve">The enhanced separation of comprehensive two-dimensional chromatography (GC×GC) negates the requirement for laborious sample fractionation, saving a significant amount of extraction and processing time, while also reducing consumable costs. Instead of two separate analyses, the traditional ‘boiling point’ separation is maintained in the first dimension while the aliphatic and aromatic compounds are separated in the second dimension. </w:t>
      </w:r>
    </w:p>
    <w:p w14:paraId="537D15DF" w14:textId="77777777" w:rsidR="002E7051" w:rsidRPr="002E7051" w:rsidRDefault="002E7051" w:rsidP="002E7051">
      <w:pPr>
        <w:pStyle w:val="Heading1"/>
        <w:jc w:val="both"/>
        <w:rPr>
          <w:rFonts w:ascii="Times New Roman" w:eastAsia="Times New Roman" w:hAnsi="Times New Roman" w:cs="Times New Roman"/>
          <w:color w:val="auto"/>
          <w:sz w:val="25"/>
          <w:szCs w:val="25"/>
          <w:lang w:eastAsia="en-IN"/>
        </w:rPr>
      </w:pPr>
      <w:r w:rsidRPr="002E7051">
        <w:rPr>
          <w:rFonts w:ascii="Times New Roman" w:eastAsia="Times New Roman" w:hAnsi="Times New Roman" w:cs="Times New Roman"/>
          <w:color w:val="auto"/>
          <w:sz w:val="25"/>
          <w:szCs w:val="25"/>
          <w:lang w:eastAsia="en-IN"/>
        </w:rPr>
        <w:t xml:space="preserve">Fast and confident group-type quantitation is then performed, using simple data processing tools.  Stencils are applied to group peaks into chemical classes (e.g. C8-C10, C10-C14 etc) based on their elution region.  The use of flow rather than thermal modulation, ensures excellent retention time repeatability across large sample batches, enabling automated data processing to be performed with minimal operator intervention. </w:t>
      </w:r>
    </w:p>
    <w:p w14:paraId="5993CA4E" w14:textId="77777777" w:rsidR="009D1CDF" w:rsidRDefault="002E7051" w:rsidP="002E7051">
      <w:pPr>
        <w:pStyle w:val="Heading1"/>
        <w:jc w:val="both"/>
        <w:rPr>
          <w:rFonts w:ascii="Times New Roman" w:eastAsia="Times New Roman" w:hAnsi="Times New Roman" w:cs="Times New Roman"/>
          <w:color w:val="auto"/>
          <w:sz w:val="25"/>
          <w:szCs w:val="25"/>
          <w:lang w:eastAsia="en-IN"/>
        </w:rPr>
      </w:pPr>
      <w:r w:rsidRPr="002E7051">
        <w:rPr>
          <w:rFonts w:ascii="Times New Roman" w:eastAsia="Times New Roman" w:hAnsi="Times New Roman" w:cs="Times New Roman"/>
          <w:color w:val="auto"/>
          <w:sz w:val="25"/>
          <w:szCs w:val="25"/>
          <w:lang w:eastAsia="en-IN"/>
        </w:rPr>
        <w:t xml:space="preserve">Furthermore, here we demonstrate a dual-channel configuration, doubling the sample throughput per instrument - increasing productivity, reducing bench space and lowering installation costs, all while meeting the criteria set out in standard methods (e.g. TPH Criteria Working Group and Massachusetts Department of Environmental Protection). </w:t>
      </w:r>
    </w:p>
    <w:p w14:paraId="08AD6946" w14:textId="166270F3" w:rsidR="00FC37DB" w:rsidRPr="00171EBD" w:rsidRDefault="00FC37DB" w:rsidP="002E7051">
      <w:pPr>
        <w:pStyle w:val="Heading1"/>
        <w:jc w:val="both"/>
        <w:rPr>
          <w:rFonts w:eastAsia="Times New Roman"/>
          <w:u w:val="single"/>
          <w:lang w:eastAsia="en-IN"/>
        </w:rPr>
      </w:pPr>
      <w:bookmarkStart w:id="0" w:name="_GoBack"/>
      <w:bookmarkEnd w:id="0"/>
      <w:r w:rsidRPr="00171EBD">
        <w:rPr>
          <w:rFonts w:eastAsia="Times New Roman"/>
          <w:u w:val="single"/>
          <w:lang w:eastAsia="en-IN"/>
        </w:rPr>
        <w:t>Biography:</w:t>
      </w:r>
    </w:p>
    <w:p w14:paraId="7FAC6869"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142E7703" w14:textId="236936A7" w:rsidR="006829C9" w:rsidRPr="00FC37DB" w:rsidRDefault="009D1CDF" w:rsidP="009D1CDF">
      <w:pPr>
        <w:spacing w:after="0" w:line="240" w:lineRule="auto"/>
        <w:jc w:val="both"/>
        <w:rPr>
          <w:rFonts w:ascii="Times New Roman" w:eastAsia="Times New Roman" w:hAnsi="Times New Roman" w:cs="Times New Roman"/>
          <w:sz w:val="25"/>
          <w:szCs w:val="25"/>
          <w:lang w:eastAsia="en-IN"/>
        </w:rPr>
      </w:pPr>
      <w:r w:rsidRPr="009D1CDF">
        <w:rPr>
          <w:rFonts w:ascii="Times New Roman" w:eastAsia="Times New Roman" w:hAnsi="Times New Roman" w:cs="Times New Roman"/>
          <w:sz w:val="25"/>
          <w:szCs w:val="25"/>
          <w:lang w:eastAsia="en-IN"/>
        </w:rPr>
        <w:t xml:space="preserve">Aaron studied chemistry at the University of York and following this spent six years working within an environmental analytical laboratory, where he was responsible for </w:t>
      </w:r>
      <w:r w:rsidRPr="009D1CDF">
        <w:rPr>
          <w:rFonts w:ascii="Times New Roman" w:eastAsia="Times New Roman" w:hAnsi="Times New Roman" w:cs="Times New Roman"/>
          <w:sz w:val="25"/>
          <w:szCs w:val="25"/>
          <w:lang w:eastAsia="en-IN"/>
        </w:rPr>
        <w:lastRenderedPageBreak/>
        <w:t>developing analytical methods to accredited status for multiple analytical instruments, specialising in GC–MS. In his current position, he is responsible for supporting SepSolve’s customers and carrying out business development activities in Europe.</w:t>
      </w:r>
    </w:p>
    <w:sectPr w:rsidR="006829C9" w:rsidRPr="00FC37DB"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2C483" w14:textId="77777777" w:rsidR="001815F9" w:rsidRDefault="001815F9" w:rsidP="004A0988">
      <w:pPr>
        <w:spacing w:after="0" w:line="240" w:lineRule="auto"/>
      </w:pPr>
      <w:r>
        <w:separator/>
      </w:r>
    </w:p>
  </w:endnote>
  <w:endnote w:type="continuationSeparator" w:id="0">
    <w:p w14:paraId="7AF951B4" w14:textId="77777777" w:rsidR="001815F9" w:rsidRDefault="001815F9"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D8AC7" w14:textId="77777777" w:rsidR="001815F9" w:rsidRDefault="001815F9" w:rsidP="004A0988">
      <w:pPr>
        <w:spacing w:after="0" w:line="240" w:lineRule="auto"/>
      </w:pPr>
      <w:r>
        <w:separator/>
      </w:r>
    </w:p>
  </w:footnote>
  <w:footnote w:type="continuationSeparator" w:id="0">
    <w:p w14:paraId="5D00A60B" w14:textId="77777777" w:rsidR="001815F9" w:rsidRDefault="001815F9"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71EBD"/>
    <w:rsid w:val="001815F9"/>
    <w:rsid w:val="002E7051"/>
    <w:rsid w:val="0033784D"/>
    <w:rsid w:val="004A0988"/>
    <w:rsid w:val="004B0551"/>
    <w:rsid w:val="004D06E0"/>
    <w:rsid w:val="004D4A62"/>
    <w:rsid w:val="005116CB"/>
    <w:rsid w:val="006829C9"/>
    <w:rsid w:val="007257BF"/>
    <w:rsid w:val="00794EA4"/>
    <w:rsid w:val="00835750"/>
    <w:rsid w:val="008921C0"/>
    <w:rsid w:val="008C3271"/>
    <w:rsid w:val="009A22FE"/>
    <w:rsid w:val="009A5A78"/>
    <w:rsid w:val="009D1CDF"/>
    <w:rsid w:val="009E0CC5"/>
    <w:rsid w:val="00A26311"/>
    <w:rsid w:val="00A3017E"/>
    <w:rsid w:val="00B163F7"/>
    <w:rsid w:val="00BD0977"/>
    <w:rsid w:val="00BE6CB1"/>
    <w:rsid w:val="00C643B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ED3D"/>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Laura McGregor</cp:lastModifiedBy>
  <cp:revision>3</cp:revision>
  <dcterms:created xsi:type="dcterms:W3CDTF">2018-02-23T14:22:00Z</dcterms:created>
  <dcterms:modified xsi:type="dcterms:W3CDTF">2018-02-23T14:23:00Z</dcterms:modified>
</cp:coreProperties>
</file>