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1DA4D" w14:textId="5757AC69" w:rsidR="004D4A62" w:rsidRDefault="001A55D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A45B83">
        <w:rPr>
          <w:rFonts w:ascii="Times New Roman" w:eastAsia="Times New Roman" w:hAnsi="Times New Roman" w:cs="Times New Roman"/>
          <w:i/>
          <w:noProof/>
          <w:sz w:val="25"/>
          <w:szCs w:val="25"/>
          <w:lang w:val="ru-RU" w:eastAsia="ru-RU"/>
        </w:rPr>
        <w:drawing>
          <wp:inline distT="0" distB="0" distL="0" distR="0" wp14:anchorId="597E2B88" wp14:editId="5858F61E">
            <wp:extent cx="1410282" cy="1151906"/>
            <wp:effectExtent l="0" t="0" r="0" b="0"/>
            <wp:docPr id="1" name="Picture 1" descr="C:\Users\Administrator\Desktop\4314224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43142249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580" cy="1163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09B34" w14:textId="77777777" w:rsidR="00FC37DB" w:rsidRPr="00EC790D" w:rsidRDefault="00FC37DB" w:rsidP="004A0988">
      <w:pPr>
        <w:pStyle w:val="Heading2"/>
        <w:rPr>
          <w:rFonts w:ascii="Times New Roman" w:eastAsia="Times New Roman" w:hAnsi="Times New Roman" w:cs="Times New Roman"/>
          <w:i/>
          <w:color w:val="auto"/>
          <w:sz w:val="25"/>
          <w:szCs w:val="25"/>
          <w:lang w:val="en-US"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B9119A">
        <w:rPr>
          <w:rFonts w:eastAsia="Times New Roman"/>
          <w:b/>
          <w:lang w:eastAsia="en-IN"/>
        </w:rPr>
        <w:t xml:space="preserve"> </w:t>
      </w:r>
      <w:r w:rsidR="00B9119A" w:rsidRPr="00EC790D">
        <w:rPr>
          <w:rFonts w:ascii="Times New Roman" w:eastAsia="Times New Roman" w:hAnsi="Times New Roman" w:cs="Times New Roman"/>
          <w:i/>
          <w:color w:val="auto"/>
          <w:sz w:val="25"/>
          <w:szCs w:val="25"/>
          <w:lang w:val="en-US" w:eastAsia="en-IN"/>
        </w:rPr>
        <w:t>Characterizing fractions of heavy oil</w:t>
      </w:r>
      <w:r w:rsidR="0050009C" w:rsidRPr="00EC790D">
        <w:rPr>
          <w:rFonts w:ascii="Times New Roman" w:eastAsia="Times New Roman" w:hAnsi="Times New Roman" w:cs="Times New Roman"/>
          <w:i/>
          <w:color w:val="auto"/>
          <w:sz w:val="25"/>
          <w:szCs w:val="25"/>
          <w:lang w:val="en-US" w:eastAsia="en-IN"/>
        </w:rPr>
        <w:t xml:space="preserve"> </w:t>
      </w:r>
      <w:r w:rsidR="00B9119A" w:rsidRPr="00EC790D">
        <w:rPr>
          <w:rFonts w:ascii="Times New Roman" w:eastAsia="Times New Roman" w:hAnsi="Times New Roman" w:cs="Times New Roman"/>
          <w:i/>
          <w:color w:val="auto"/>
          <w:sz w:val="25"/>
          <w:szCs w:val="25"/>
          <w:lang w:val="en-US" w:eastAsia="en-IN"/>
        </w:rPr>
        <w:t>by supercritical fluid extraction and fractionation</w:t>
      </w:r>
      <w:r w:rsidR="0050009C" w:rsidRPr="00EC790D">
        <w:rPr>
          <w:rFonts w:ascii="Times New Roman" w:eastAsia="Times New Roman" w:hAnsi="Times New Roman" w:cs="Times New Roman"/>
          <w:i/>
          <w:color w:val="auto"/>
          <w:sz w:val="25"/>
          <w:szCs w:val="25"/>
          <w:lang w:val="en-US" w:eastAsia="en-IN"/>
        </w:rPr>
        <w:t xml:space="preserve"> using CO</w:t>
      </w:r>
      <w:r w:rsidR="0050009C" w:rsidRPr="00EC790D">
        <w:rPr>
          <w:rFonts w:ascii="Times New Roman" w:eastAsia="Times New Roman" w:hAnsi="Times New Roman" w:cs="Times New Roman"/>
          <w:i/>
          <w:color w:val="auto"/>
          <w:sz w:val="25"/>
          <w:szCs w:val="25"/>
          <w:vertAlign w:val="subscript"/>
          <w:lang w:val="en-US" w:eastAsia="en-IN"/>
        </w:rPr>
        <w:t>2</w:t>
      </w:r>
      <w:r w:rsidR="0050009C" w:rsidRPr="00EC790D">
        <w:rPr>
          <w:rFonts w:ascii="Times New Roman" w:eastAsia="Times New Roman" w:hAnsi="Times New Roman" w:cs="Times New Roman"/>
          <w:i/>
          <w:color w:val="auto"/>
          <w:sz w:val="25"/>
          <w:szCs w:val="25"/>
          <w:lang w:val="en-US" w:eastAsia="en-IN"/>
        </w:rPr>
        <w:t>-based solvent</w:t>
      </w:r>
    </w:p>
    <w:p w14:paraId="2EAF14ED" w14:textId="0C816ED0" w:rsidR="00FC37DB" w:rsidRPr="00727BE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Presenting </w:t>
      </w:r>
      <w:r w:rsidR="00FC37DB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240DF7" w:rsidRPr="00240DF7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 xml:space="preserve"> </w:t>
      </w:r>
      <w:r w:rsidR="00240DF7" w:rsidRPr="00727BE4">
        <w:rPr>
          <w:rFonts w:ascii="Times New Roman" w:eastAsia="Times New Roman" w:hAnsi="Times New Roman" w:cs="Times New Roman"/>
          <w:i/>
          <w:sz w:val="25"/>
          <w:szCs w:val="25"/>
          <w:u w:val="single"/>
          <w:lang w:val="en-US" w:eastAsia="en-IN"/>
        </w:rPr>
        <w:t xml:space="preserve">Artem </w:t>
      </w:r>
      <w:r w:rsidR="00727BE4">
        <w:rPr>
          <w:rFonts w:ascii="Times New Roman" w:eastAsia="Times New Roman" w:hAnsi="Times New Roman" w:cs="Times New Roman"/>
          <w:i/>
          <w:sz w:val="25"/>
          <w:szCs w:val="25"/>
          <w:u w:val="single"/>
          <w:lang w:val="en-US" w:eastAsia="en-IN"/>
        </w:rPr>
        <w:t xml:space="preserve">V. </w:t>
      </w:r>
      <w:r w:rsidR="00240DF7" w:rsidRPr="00727BE4">
        <w:rPr>
          <w:rFonts w:ascii="Times New Roman" w:eastAsia="Times New Roman" w:hAnsi="Times New Roman" w:cs="Times New Roman"/>
          <w:i/>
          <w:sz w:val="25"/>
          <w:szCs w:val="25"/>
          <w:u w:val="single"/>
          <w:lang w:val="en-US" w:eastAsia="en-IN"/>
        </w:rPr>
        <w:t>Pripakhaylo</w:t>
      </w:r>
      <w:r w:rsidR="00727BE4" w:rsidRPr="00727BE4">
        <w:rPr>
          <w:rFonts w:ascii="Times New Roman" w:eastAsia="Times New Roman" w:hAnsi="Times New Roman" w:cs="Times New Roman"/>
          <w:i/>
          <w:sz w:val="25"/>
          <w:szCs w:val="25"/>
          <w:lang w:val="en-US" w:eastAsia="en-IN"/>
        </w:rPr>
        <w:t>, Rustam N. Magomedov, Tatiana A. Maryutina</w:t>
      </w:r>
    </w:p>
    <w:p w14:paraId="0DC28551" w14:textId="77777777" w:rsidR="00FC37DB" w:rsidRPr="00240DF7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240DF7" w:rsidRPr="00240DF7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240DF7" w:rsidRPr="00632022">
        <w:rPr>
          <w:rFonts w:ascii="Times New Roman" w:eastAsia="Times New Roman" w:hAnsi="Times New Roman" w:cs="Times New Roman"/>
          <w:i/>
          <w:sz w:val="25"/>
          <w:szCs w:val="25"/>
          <w:lang w:val="en-US" w:eastAsia="en-IN"/>
        </w:rPr>
        <w:t>Vernadsky Institute of Geochemistry and Analytical Chemistry of Russian Academу of Sciences, Moscow, 119991, Russian Federation</w:t>
      </w:r>
    </w:p>
    <w:p w14:paraId="7A813742" w14:textId="77777777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240DF7" w:rsidRPr="00240DF7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 xml:space="preserve"> </w:t>
      </w:r>
      <w:r w:rsidR="00240DF7" w:rsidRPr="00632022">
        <w:rPr>
          <w:rFonts w:ascii="Times New Roman" w:eastAsia="Times New Roman" w:hAnsi="Times New Roman" w:cs="Times New Roman"/>
          <w:i/>
          <w:sz w:val="25"/>
          <w:szCs w:val="25"/>
          <w:lang w:val="en-US" w:eastAsia="en-IN"/>
        </w:rPr>
        <w:t>Vernadsky Institute of Geochemistry and Analytical Chemistry of Russian Academу of Sciences</w:t>
      </w:r>
    </w:p>
    <w:p w14:paraId="4A31E014" w14:textId="77777777" w:rsidR="00632022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</w:t>
      </w:r>
      <w:r w:rsidR="00632022" w:rsidRPr="0063202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 xml:space="preserve"> </w:t>
      </w:r>
      <w:r w:rsidR="00632022" w:rsidRPr="00632022">
        <w:rPr>
          <w:rFonts w:ascii="Times New Roman" w:eastAsia="Times New Roman" w:hAnsi="Times New Roman" w:cs="Times New Roman"/>
          <w:i/>
          <w:sz w:val="25"/>
          <w:szCs w:val="25"/>
          <w:lang w:val="en-US" w:eastAsia="en-IN"/>
        </w:rPr>
        <w:t>Russian Federation</w:t>
      </w:r>
      <w:r w:rsidR="00632022" w:rsidRPr="0063202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</w:p>
    <w:p w14:paraId="766E37E7" w14:textId="3CF4EF50" w:rsidR="00794EA4" w:rsidRPr="001A55D2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val="en-US"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Scientific Session </w:t>
      </w:r>
      <w:r w:rsidR="008921C0" w:rsidRPr="008921C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name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/ number:</w:t>
      </w:r>
      <w:r w:rsidR="00EC790D" w:rsidRPr="00EC790D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 xml:space="preserve"> </w:t>
      </w:r>
      <w:r w:rsidR="001A55D2" w:rsidRPr="001A55D2">
        <w:rPr>
          <w:rFonts w:ascii="Times New Roman" w:eastAsia="Times New Roman" w:hAnsi="Times New Roman" w:cs="Times New Roman"/>
          <w:i/>
          <w:sz w:val="25"/>
          <w:szCs w:val="25"/>
          <w:lang w:val="en-US" w:eastAsia="en-IN"/>
        </w:rPr>
        <w:t>Track 22. Separation Techniques and Application</w:t>
      </w:r>
    </w:p>
    <w:p w14:paraId="7D63948C" w14:textId="77777777" w:rsidR="00FC37DB" w:rsidRP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Category: </w:t>
      </w:r>
      <w:r w:rsidR="00BE56CE" w:rsidRPr="00BE56CE">
        <w:rPr>
          <w:rFonts w:ascii="Times New Roman" w:eastAsia="Times New Roman" w:hAnsi="Times New Roman" w:cs="Times New Roman"/>
          <w:i/>
          <w:sz w:val="25"/>
          <w:szCs w:val="25"/>
          <w:lang w:val="en-US" w:eastAsia="en-IN"/>
        </w:rPr>
        <w:t>P</w:t>
      </w:r>
      <w:r w:rsidRPr="00BE56CE">
        <w:rPr>
          <w:rFonts w:ascii="Times New Roman" w:eastAsia="Times New Roman" w:hAnsi="Times New Roman" w:cs="Times New Roman"/>
          <w:i/>
          <w:sz w:val="25"/>
          <w:szCs w:val="25"/>
          <w:lang w:val="en-US" w:eastAsia="en-IN"/>
        </w:rPr>
        <w:t>oster presentation</w:t>
      </w:r>
    </w:p>
    <w:p w14:paraId="712E34EF" w14:textId="48333652" w:rsidR="003C1670" w:rsidRPr="00171EBD" w:rsidRDefault="003C1670" w:rsidP="003C1670">
      <w:pPr>
        <w:pStyle w:val="Heading1"/>
        <w:jc w:val="both"/>
        <w:rPr>
          <w:rFonts w:eastAsia="Times New Roman"/>
          <w:u w:val="single"/>
          <w:lang w:eastAsia="en-IN"/>
        </w:rPr>
      </w:pPr>
      <w:r>
        <w:rPr>
          <w:rFonts w:eastAsia="Times New Roman"/>
          <w:u w:val="single"/>
          <w:lang w:eastAsia="en-IN"/>
        </w:rPr>
        <w:t>Abstract</w:t>
      </w:r>
      <w:r w:rsidRPr="00171EBD">
        <w:rPr>
          <w:rFonts w:eastAsia="Times New Roman"/>
          <w:u w:val="single"/>
          <w:lang w:eastAsia="en-IN"/>
        </w:rPr>
        <w:t>:</w:t>
      </w:r>
    </w:p>
    <w:p w14:paraId="3CB8D7EE" w14:textId="77777777" w:rsidR="00BB0097" w:rsidRDefault="00D0440B" w:rsidP="00FC660C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  <w:r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As is known supercritical fluid extraction and fractionation (SFEF) which resembles the true-boiling-point (TBP) distillation for crude oils may serve as a powerful characterization tool for heavy oils and vacuum residues. If suitable solvent and operating parameters </w:t>
      </w:r>
      <w:bookmarkStart w:id="0" w:name="_GoBack"/>
      <w:r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are selected</w:t>
      </w:r>
      <w:bookmarkEnd w:id="0"/>
      <w:r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, SFEF will provide high extraction yields and enough amounts of samples for </w:t>
      </w:r>
      <w:r w:rsidR="000445C3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further</w:t>
      </w:r>
      <w:r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studies. </w:t>
      </w:r>
      <w:r w:rsidR="0091624F" w:rsidRPr="0091624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Supercritical carbon dioxide (scCO</w:t>
      </w:r>
      <w:r w:rsidR="0091624F" w:rsidRPr="00F775D1">
        <w:rPr>
          <w:rFonts w:ascii="Times New Roman" w:eastAsia="Times New Roman" w:hAnsi="Times New Roman" w:cs="Times New Roman"/>
          <w:sz w:val="25"/>
          <w:szCs w:val="25"/>
          <w:vertAlign w:val="subscript"/>
          <w:lang w:val="en-US" w:eastAsia="en-IN"/>
        </w:rPr>
        <w:t>2</w:t>
      </w:r>
      <w:r w:rsidR="0091624F" w:rsidRPr="0091624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) is the most common solvent for SFE processes. </w:t>
      </w:r>
      <w:r w:rsidR="0091624F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However, the low solubility of </w:t>
      </w:r>
      <w:r w:rsidR="00FF1504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heavy high molecular weight oil components in </w:t>
      </w:r>
      <w:r w:rsidR="0091624F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scCO</w:t>
      </w:r>
      <w:r w:rsidR="0091624F" w:rsidRPr="00F775D1">
        <w:rPr>
          <w:rFonts w:ascii="Times New Roman" w:eastAsia="Times New Roman" w:hAnsi="Times New Roman" w:cs="Times New Roman"/>
          <w:sz w:val="25"/>
          <w:szCs w:val="25"/>
          <w:vertAlign w:val="subscript"/>
          <w:lang w:val="en-US" w:eastAsia="en-IN"/>
        </w:rPr>
        <w:t>2</w:t>
      </w:r>
      <w:r w:rsidR="0091624F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FF1504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prevents the use of </w:t>
      </w:r>
      <w:r w:rsidR="00BB0248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this solvent</w:t>
      </w:r>
      <w:r w:rsidR="00FF1504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for separating heavy oil</w:t>
      </w:r>
      <w:r w:rsidR="00BB0248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s and petroleum residues</w:t>
      </w:r>
      <w:r w:rsidR="00FF1504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into fractions</w:t>
      </w:r>
      <w:r w:rsidR="00BB0248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. </w:t>
      </w:r>
      <w:r w:rsidR="0091624F" w:rsidRPr="0091624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Main method allowing one to overcome the low solubility of the </w:t>
      </w:r>
      <w:r w:rsidR="00BB0248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heavy oil </w:t>
      </w:r>
      <w:r w:rsidR="0091624F" w:rsidRPr="0091624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components in scCO</w:t>
      </w:r>
      <w:r w:rsidR="0091624F" w:rsidRPr="00F775D1">
        <w:rPr>
          <w:rFonts w:ascii="Times New Roman" w:eastAsia="Times New Roman" w:hAnsi="Times New Roman" w:cs="Times New Roman"/>
          <w:sz w:val="25"/>
          <w:szCs w:val="25"/>
          <w:vertAlign w:val="subscript"/>
          <w:lang w:val="en-US" w:eastAsia="en-IN"/>
        </w:rPr>
        <w:t>2</w:t>
      </w:r>
      <w:r w:rsidR="0091624F" w:rsidRPr="0091624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is an addition of organic modifiers to scCO</w:t>
      </w:r>
      <w:r w:rsidR="0091624F" w:rsidRPr="00F775D1">
        <w:rPr>
          <w:rFonts w:ascii="Times New Roman" w:eastAsia="Times New Roman" w:hAnsi="Times New Roman" w:cs="Times New Roman"/>
          <w:sz w:val="25"/>
          <w:szCs w:val="25"/>
          <w:vertAlign w:val="subscript"/>
          <w:lang w:val="en-US" w:eastAsia="en-IN"/>
        </w:rPr>
        <w:t>2</w:t>
      </w:r>
      <w:r w:rsidR="00463A9A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. </w:t>
      </w:r>
      <w:r w:rsidR="001A44D8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In contrast to the traditional SFEF approach based on controlling the density and solvent capacity of the solvent by changing the process parameters, selecting a suitable CO</w:t>
      </w:r>
      <w:r w:rsidR="001A44D8" w:rsidRPr="00F775D1">
        <w:rPr>
          <w:rFonts w:ascii="Times New Roman" w:eastAsia="Times New Roman" w:hAnsi="Times New Roman" w:cs="Times New Roman"/>
          <w:sz w:val="25"/>
          <w:szCs w:val="25"/>
          <w:vertAlign w:val="subscript"/>
          <w:lang w:val="en-US" w:eastAsia="en-IN"/>
        </w:rPr>
        <w:t>2</w:t>
      </w:r>
      <w:r w:rsidR="001A44D8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modifier in this case makes it possible to carry out fractionation of oil samples by simply changing the solvent composition.</w:t>
      </w:r>
      <w:r w:rsidR="00FC660C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</w:p>
    <w:p w14:paraId="0D2E62AB" w14:textId="1E25BAA8" w:rsidR="0091624F" w:rsidRPr="003405B7" w:rsidRDefault="00140A27" w:rsidP="00FC660C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  <w:r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This report presents the </w:t>
      </w:r>
      <w:r w:rsidR="00BA1FFE"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experimental </w:t>
      </w:r>
      <w:r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results </w:t>
      </w:r>
      <w:r w:rsidR="00BA1FFE"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obtained with </w:t>
      </w:r>
      <w:r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SFEF </w:t>
      </w:r>
      <w:r w:rsidR="00222CE2"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of heavy oil by changing the solvent composition based on CO2. T</w:t>
      </w:r>
      <w:r w:rsidR="0016180D" w:rsidRPr="00222CE2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he use </w:t>
      </w:r>
      <w:r w:rsidR="0016180D" w:rsidRPr="0091624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of toluene as a modifier </w:t>
      </w:r>
      <w:r w:rsidR="0016180D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allowed</w:t>
      </w:r>
      <w:r w:rsidR="0016180D" w:rsidRPr="0091624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BA1FFE"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us to </w:t>
      </w:r>
      <w:r w:rsidR="00221158"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achieve</w:t>
      </w:r>
      <w:r w:rsidR="0016180D"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16180D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the high cumulative yield </w:t>
      </w:r>
      <w:r w:rsidR="0016180D" w:rsidRPr="0091624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of extract </w:t>
      </w:r>
      <w:r w:rsidR="00AF7587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and </w:t>
      </w:r>
      <w:r w:rsidR="00BA1FFE"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separate</w:t>
      </w:r>
      <w:r w:rsidR="0016180D"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16180D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the heavy oil </w:t>
      </w:r>
      <w:r w:rsidR="00FC660C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from Ashalchi oilfield </w:t>
      </w:r>
      <w:r w:rsidR="0016180D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by molecular weight</w:t>
      </w:r>
      <w:r w:rsidR="003C1670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. </w:t>
      </w:r>
      <w:r w:rsidR="00804DC3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As a result of </w:t>
      </w:r>
      <w:r w:rsidR="00EF522F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SFEF</w:t>
      </w:r>
      <w:r w:rsidR="00804DC3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91624F" w:rsidRPr="0091624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9 narrow fractions with total extraction yield</w:t>
      </w:r>
      <w:r w:rsidR="00804DC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of 83 wt % </w:t>
      </w:r>
      <w:r w:rsidR="00804DC3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were </w:t>
      </w:r>
      <w:r w:rsidR="00221158"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received</w:t>
      </w:r>
      <w:r w:rsidR="00804DC3" w:rsidRPr="00641C4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.</w:t>
      </w:r>
      <w:r w:rsidR="00804DC3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91624F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Based on the analysis of narrow </w:t>
      </w:r>
      <w:r w:rsidR="00EF522F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cuts distribution of</w:t>
      </w:r>
      <w:r w:rsidR="00EF522F" w:rsidRPr="00E42269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hydrocarbon </w:t>
      </w:r>
      <w:r w:rsidR="00AF7717" w:rsidRPr="00E42269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groups</w:t>
      </w:r>
      <w:r w:rsidR="00EF522F" w:rsidRPr="00E42269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, carbon residue, sulfur and metals </w:t>
      </w:r>
      <w:r w:rsidR="007F00EA" w:rsidRPr="00E42269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between fractions </w:t>
      </w:r>
      <w:r w:rsidR="00EF522F" w:rsidRPr="00E42269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was established. </w:t>
      </w:r>
    </w:p>
    <w:p w14:paraId="478BF23E" w14:textId="77777777" w:rsidR="00FC37DB" w:rsidRPr="00171EBD" w:rsidRDefault="00FC37DB" w:rsidP="0091624F">
      <w:pPr>
        <w:pStyle w:val="Heading1"/>
        <w:jc w:val="both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14:paraId="5ED9103C" w14:textId="77777777"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14:paraId="4850B439" w14:textId="77777777" w:rsidR="006829C9" w:rsidRPr="00FC37DB" w:rsidRDefault="003E4D74" w:rsidP="003E4D74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PhD student of the Laboratory of Concentration in </w:t>
      </w:r>
      <w:r w:rsidRPr="003E4D7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Vernadsky Institute of Geochemistry and Analytical Chemistry and </w:t>
      </w:r>
      <w:r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junior researcher </w:t>
      </w:r>
      <w:r w:rsidR="00DF185B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of the Laboratory of Concentration in </w:t>
      </w:r>
      <w:r w:rsidR="00DF185B" w:rsidRPr="003E4D7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Vernadsky Institute of Geochemistry and Analytical Chemistry</w:t>
      </w:r>
    </w:p>
    <w:p w14:paraId="5B1ED429" w14:textId="77777777" w:rsidR="006829C9" w:rsidRDefault="006829C9" w:rsidP="006829C9">
      <w:pPr>
        <w:spacing w:after="0" w:line="240" w:lineRule="auto"/>
        <w:jc w:val="both"/>
      </w:pPr>
    </w:p>
    <w:p w14:paraId="48BE007C" w14:textId="77777777"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14:paraId="3C257BD9" w14:textId="32E70A85" w:rsidR="006829C9" w:rsidRPr="008D4503" w:rsidRDefault="00E25BCA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  <w:r w:rsidRPr="008D450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Supercritical fluid extraction, separation methods</w:t>
      </w:r>
      <w:r w:rsidR="003E6F5E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, </w:t>
      </w:r>
      <w:r w:rsidR="006D0287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solvent </w:t>
      </w:r>
      <w:r w:rsidRPr="008D450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deasphalting,</w:t>
      </w:r>
      <w:r w:rsidR="006D0287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6D0287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upgrading and refining of heavy oils and </w:t>
      </w:r>
      <w:r w:rsidR="00F615DC" w:rsidRPr="00517696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petroleum</w:t>
      </w:r>
      <w:r w:rsidR="006D0287" w:rsidRPr="00517696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EC790D" w:rsidRPr="00517696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residues</w:t>
      </w:r>
    </w:p>
    <w:p w14:paraId="050D15C4" w14:textId="77777777"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</w:p>
    <w:p w14:paraId="6208C330" w14:textId="77777777" w:rsidR="004D4A62" w:rsidRPr="008D4503" w:rsidRDefault="008D4503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  <w:r w:rsidRPr="008D450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pripakhaylo.av@mail.ru</w:t>
      </w:r>
    </w:p>
    <w:p w14:paraId="0534F11E" w14:textId="448D670A"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8D4503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3E6F5E" w:rsidRPr="003E6F5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+7 </w:t>
      </w:r>
      <w:r w:rsidR="008D4503" w:rsidRPr="008D450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(905)726-65-36</w:t>
      </w:r>
    </w:p>
    <w:p w14:paraId="5B12B5DB" w14:textId="77777777"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14:paraId="77D787F8" w14:textId="77777777"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22882723" w14:textId="77777777" w:rsidR="006829C9" w:rsidRDefault="004D4A62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p w14:paraId="4DCFDBC4" w14:textId="2322472C" w:rsidR="001A55D2" w:rsidRDefault="001A55D2" w:rsidP="00171EBD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  <w:r w:rsidRPr="001A55D2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Track 22. Separation Techniques and Application</w:t>
      </w:r>
      <w:r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. </w:t>
      </w:r>
    </w:p>
    <w:p w14:paraId="75112957" w14:textId="5028A4D1" w:rsidR="001A55D2" w:rsidRPr="001A55D2" w:rsidRDefault="001A55D2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Track 22-12 Separation techniques used in Petroleum industries. </w:t>
      </w:r>
    </w:p>
    <w:sectPr w:rsidR="001A55D2" w:rsidRPr="001A55D2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890971" w14:textId="77777777" w:rsidR="007F6BB8" w:rsidRDefault="007F6BB8" w:rsidP="004A0988">
      <w:pPr>
        <w:spacing w:after="0" w:line="240" w:lineRule="auto"/>
      </w:pPr>
      <w:r>
        <w:separator/>
      </w:r>
    </w:p>
  </w:endnote>
  <w:endnote w:type="continuationSeparator" w:id="0">
    <w:p w14:paraId="5BD9C1EA" w14:textId="77777777" w:rsidR="007F6BB8" w:rsidRDefault="007F6BB8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13ECAA" w14:textId="77777777" w:rsidR="007F6BB8" w:rsidRDefault="007F6BB8" w:rsidP="004A0988">
      <w:pPr>
        <w:spacing w:after="0" w:line="240" w:lineRule="auto"/>
      </w:pPr>
      <w:r>
        <w:separator/>
      </w:r>
    </w:p>
  </w:footnote>
  <w:footnote w:type="continuationSeparator" w:id="0">
    <w:p w14:paraId="2C090BDD" w14:textId="77777777" w:rsidR="007F6BB8" w:rsidRDefault="007F6BB8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0445C3"/>
    <w:rsid w:val="00140A27"/>
    <w:rsid w:val="0016180D"/>
    <w:rsid w:val="00171EBD"/>
    <w:rsid w:val="0018157A"/>
    <w:rsid w:val="001A44D8"/>
    <w:rsid w:val="001A55D2"/>
    <w:rsid w:val="00221158"/>
    <w:rsid w:val="00222CE2"/>
    <w:rsid w:val="00240DF7"/>
    <w:rsid w:val="0029777A"/>
    <w:rsid w:val="002B5833"/>
    <w:rsid w:val="0033784D"/>
    <w:rsid w:val="003405B7"/>
    <w:rsid w:val="003760CC"/>
    <w:rsid w:val="003C1670"/>
    <w:rsid w:val="003E4D74"/>
    <w:rsid w:val="003E6F5E"/>
    <w:rsid w:val="0046361E"/>
    <w:rsid w:val="00463A9A"/>
    <w:rsid w:val="004A0988"/>
    <w:rsid w:val="004B0551"/>
    <w:rsid w:val="004C5DB3"/>
    <w:rsid w:val="004D06E0"/>
    <w:rsid w:val="004D4A62"/>
    <w:rsid w:val="0050009C"/>
    <w:rsid w:val="005116CB"/>
    <w:rsid w:val="00517696"/>
    <w:rsid w:val="00530C78"/>
    <w:rsid w:val="00562079"/>
    <w:rsid w:val="005B5ED4"/>
    <w:rsid w:val="00632022"/>
    <w:rsid w:val="00641C4E"/>
    <w:rsid w:val="006829C9"/>
    <w:rsid w:val="0069211D"/>
    <w:rsid w:val="006A7E07"/>
    <w:rsid w:val="006D0287"/>
    <w:rsid w:val="007257BF"/>
    <w:rsid w:val="00727BE4"/>
    <w:rsid w:val="00773218"/>
    <w:rsid w:val="00794EA4"/>
    <w:rsid w:val="007A1E84"/>
    <w:rsid w:val="007B6081"/>
    <w:rsid w:val="007F00EA"/>
    <w:rsid w:val="007F6BB8"/>
    <w:rsid w:val="00804DC3"/>
    <w:rsid w:val="0081635E"/>
    <w:rsid w:val="00835750"/>
    <w:rsid w:val="008921C0"/>
    <w:rsid w:val="008C3271"/>
    <w:rsid w:val="008D4503"/>
    <w:rsid w:val="008E1B53"/>
    <w:rsid w:val="008E559D"/>
    <w:rsid w:val="0091624F"/>
    <w:rsid w:val="00944B88"/>
    <w:rsid w:val="00944E62"/>
    <w:rsid w:val="009A22FE"/>
    <w:rsid w:val="009A5A78"/>
    <w:rsid w:val="009E0CC5"/>
    <w:rsid w:val="00A26311"/>
    <w:rsid w:val="00A3017E"/>
    <w:rsid w:val="00A45C77"/>
    <w:rsid w:val="00AA3BEB"/>
    <w:rsid w:val="00AB2AAC"/>
    <w:rsid w:val="00AE09AA"/>
    <w:rsid w:val="00AF7587"/>
    <w:rsid w:val="00AF7717"/>
    <w:rsid w:val="00B163F7"/>
    <w:rsid w:val="00B5430B"/>
    <w:rsid w:val="00B9119A"/>
    <w:rsid w:val="00BA1FFE"/>
    <w:rsid w:val="00BB0097"/>
    <w:rsid w:val="00BB0248"/>
    <w:rsid w:val="00BE56CE"/>
    <w:rsid w:val="00BE6CB1"/>
    <w:rsid w:val="00C33490"/>
    <w:rsid w:val="00C56698"/>
    <w:rsid w:val="00C643B3"/>
    <w:rsid w:val="00CA6EAA"/>
    <w:rsid w:val="00CE6890"/>
    <w:rsid w:val="00D0440B"/>
    <w:rsid w:val="00D96828"/>
    <w:rsid w:val="00DF185B"/>
    <w:rsid w:val="00E25BCA"/>
    <w:rsid w:val="00E42269"/>
    <w:rsid w:val="00EB1FF6"/>
    <w:rsid w:val="00EC790D"/>
    <w:rsid w:val="00ED189E"/>
    <w:rsid w:val="00EF522F"/>
    <w:rsid w:val="00EF5BFF"/>
    <w:rsid w:val="00F040DB"/>
    <w:rsid w:val="00F27331"/>
    <w:rsid w:val="00F615DC"/>
    <w:rsid w:val="00F775D1"/>
    <w:rsid w:val="00F8357A"/>
    <w:rsid w:val="00FC37DB"/>
    <w:rsid w:val="00FC660C"/>
    <w:rsid w:val="00FF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8A8F9F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00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00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0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0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Waters</cp:lastModifiedBy>
  <cp:revision>12</cp:revision>
  <dcterms:created xsi:type="dcterms:W3CDTF">2018-02-15T09:45:00Z</dcterms:created>
  <dcterms:modified xsi:type="dcterms:W3CDTF">2018-02-15T12:36:00Z</dcterms:modified>
</cp:coreProperties>
</file>