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0DB" w:rsidRPr="005D299C" w:rsidRDefault="005D299C" w:rsidP="00494130">
      <w:pPr>
        <w:pStyle w:val="Heading1"/>
        <w:spacing w:before="170"/>
        <w:ind w:left="0"/>
        <w:rPr>
          <w:color w:val="548DD4" w:themeColor="text2" w:themeTint="99"/>
        </w:rPr>
      </w:pPr>
      <w:r w:rsidRPr="005D299C">
        <w:rPr>
          <w:color w:val="548DD4" w:themeColor="text2" w:themeTint="99"/>
        </w:rPr>
        <w:t xml:space="preserve">On-line and off-line </w:t>
      </w:r>
      <w:proofErr w:type="spellStart"/>
      <w:r w:rsidRPr="005D299C">
        <w:rPr>
          <w:color w:val="548DD4" w:themeColor="text2" w:themeTint="99"/>
        </w:rPr>
        <w:t>analysus</w:t>
      </w:r>
      <w:proofErr w:type="spellEnd"/>
      <w:r w:rsidR="009F10DB" w:rsidRPr="005D299C">
        <w:rPr>
          <w:color w:val="548DD4" w:themeColor="text2" w:themeTint="99"/>
        </w:rPr>
        <w:t xml:space="preserve"> using a microflu</w:t>
      </w:r>
      <w:r w:rsidR="007534F6" w:rsidRPr="005D299C">
        <w:rPr>
          <w:color w:val="548DD4" w:themeColor="text2" w:themeTint="99"/>
        </w:rPr>
        <w:t>i</w:t>
      </w:r>
      <w:r w:rsidR="009F10DB" w:rsidRPr="005D299C">
        <w:rPr>
          <w:color w:val="548DD4" w:themeColor="text2" w:themeTint="99"/>
        </w:rPr>
        <w:t xml:space="preserve">dic-chip as sample treatment miniaturization </w:t>
      </w:r>
    </w:p>
    <w:p w:rsidR="009F10DB" w:rsidRPr="005D299C" w:rsidRDefault="009F10DB" w:rsidP="00FD2F48">
      <w:pPr>
        <w:pStyle w:val="BodyText"/>
        <w:spacing w:before="73" w:line="198" w:lineRule="exact"/>
        <w:ind w:right="5987"/>
        <w:rPr>
          <w:rFonts w:ascii="Arial"/>
        </w:rPr>
      </w:pPr>
      <w:proofErr w:type="spellStart"/>
      <w:r w:rsidRPr="005D299C">
        <w:rPr>
          <w:rFonts w:ascii="Arial"/>
        </w:rPr>
        <w:t>Mar</w:t>
      </w:r>
      <w:r w:rsidRPr="005D299C">
        <w:rPr>
          <w:rFonts w:ascii="Arial"/>
        </w:rPr>
        <w:t>í</w:t>
      </w:r>
      <w:r w:rsidR="005B4A8A" w:rsidRPr="005D299C">
        <w:rPr>
          <w:rFonts w:ascii="Arial"/>
        </w:rPr>
        <w:t>a</w:t>
      </w:r>
      <w:proofErr w:type="spellEnd"/>
      <w:r w:rsidR="005B4A8A" w:rsidRPr="005D299C">
        <w:rPr>
          <w:rFonts w:ascii="Arial"/>
        </w:rPr>
        <w:t xml:space="preserve"> Ramos Pay</w:t>
      </w:r>
      <w:r w:rsidR="005B4A8A" w:rsidRPr="005D299C">
        <w:rPr>
          <w:rFonts w:ascii="Arial"/>
        </w:rPr>
        <w:t>á</w:t>
      </w:r>
      <w:r w:rsidR="005B4A8A" w:rsidRPr="005D299C">
        <w:rPr>
          <w:rFonts w:ascii="Arial"/>
        </w:rPr>
        <w:t>n</w:t>
      </w:r>
      <w:r w:rsidRPr="005D299C">
        <w:rPr>
          <w:rFonts w:ascii="Arial"/>
        </w:rPr>
        <w:t>,</w:t>
      </w:r>
      <w:r w:rsidR="005973B9" w:rsidRPr="005D299C">
        <w:rPr>
          <w:rFonts w:ascii="Arial"/>
        </w:rPr>
        <w:t xml:space="preserve"> PhD</w:t>
      </w:r>
      <w:r w:rsidR="0091354A" w:rsidRPr="005D299C">
        <w:rPr>
          <w:rFonts w:ascii="Arial"/>
        </w:rPr>
        <w:t>,</w:t>
      </w:r>
      <w:r w:rsidR="005B4A8A" w:rsidRPr="005D299C">
        <w:rPr>
          <w:rFonts w:ascii="Arial"/>
        </w:rPr>
        <w:t xml:space="preserve"> </w:t>
      </w:r>
      <w:r w:rsidR="005B4A8A" w:rsidRPr="005D299C">
        <w:rPr>
          <w:rFonts w:asciiTheme="minorHAnsi" w:hAnsiTheme="minorHAnsi"/>
          <w:sz w:val="20"/>
          <w:szCs w:val="20"/>
        </w:rPr>
        <w:t xml:space="preserve">Department of Analytical Chemistry, Faculty of Chemistry, University of </w:t>
      </w:r>
      <w:proofErr w:type="spellStart"/>
      <w:r w:rsidR="005B4A8A" w:rsidRPr="005D299C">
        <w:rPr>
          <w:rFonts w:asciiTheme="minorHAnsi" w:hAnsiTheme="minorHAnsi"/>
          <w:sz w:val="20"/>
          <w:szCs w:val="20"/>
        </w:rPr>
        <w:t>Sevilla</w:t>
      </w:r>
      <w:proofErr w:type="spellEnd"/>
      <w:r w:rsidR="005B4A8A" w:rsidRPr="005D299C">
        <w:rPr>
          <w:rFonts w:asciiTheme="minorHAnsi" w:hAnsiTheme="minorHAnsi"/>
          <w:sz w:val="20"/>
          <w:szCs w:val="20"/>
        </w:rPr>
        <w:t xml:space="preserve">, c/Prof. </w:t>
      </w:r>
      <w:proofErr w:type="spellStart"/>
      <w:r w:rsidR="005B4A8A" w:rsidRPr="005D299C">
        <w:rPr>
          <w:rFonts w:asciiTheme="minorHAnsi" w:hAnsiTheme="minorHAnsi"/>
          <w:sz w:val="20"/>
          <w:szCs w:val="20"/>
        </w:rPr>
        <w:t>García</w:t>
      </w:r>
      <w:proofErr w:type="spellEnd"/>
      <w:r w:rsidR="005B4A8A" w:rsidRPr="005D299C">
        <w:rPr>
          <w:rFonts w:asciiTheme="minorHAnsi" w:hAnsiTheme="minorHAnsi"/>
          <w:sz w:val="20"/>
          <w:szCs w:val="20"/>
        </w:rPr>
        <w:t xml:space="preserve"> González s/n, 41012, Seville, Spain</w:t>
      </w:r>
    </w:p>
    <w:p w:rsidR="00AE3E37" w:rsidRPr="005D299C" w:rsidRDefault="00AE3E37">
      <w:pPr>
        <w:rPr>
          <w:rFonts w:ascii="Arial"/>
          <w:sz w:val="21"/>
        </w:rPr>
        <w:sectPr w:rsidR="00AE3E37" w:rsidRPr="005D299C">
          <w:headerReference w:type="default" r:id="rId7"/>
          <w:footerReference w:type="default" r:id="rId8"/>
          <w:type w:val="continuous"/>
          <w:pgSz w:w="11910" w:h="16840"/>
          <w:pgMar w:top="1740" w:right="600" w:bottom="840" w:left="620" w:header="541" w:footer="642" w:gutter="0"/>
          <w:cols w:space="720"/>
        </w:sectPr>
      </w:pPr>
    </w:p>
    <w:p w:rsidR="00AE3E37" w:rsidRPr="005D299C" w:rsidRDefault="00A9710C">
      <w:pPr>
        <w:pStyle w:val="Heading3"/>
        <w:spacing w:before="147"/>
        <w:jc w:val="both"/>
      </w:pPr>
      <w:r w:rsidRPr="005D299C">
        <w:rPr>
          <w:color w:val="BF5A14"/>
        </w:rPr>
        <w:t>Abstract</w:t>
      </w:r>
      <w:r w:rsidR="00404E5B" w:rsidRPr="005D299C">
        <w:rPr>
          <w:color w:val="BF5A14"/>
        </w:rPr>
        <w:t xml:space="preserve"> (300 word limit)</w:t>
      </w:r>
    </w:p>
    <w:p w:rsidR="00896A5F" w:rsidRPr="005D299C" w:rsidRDefault="00A9710C" w:rsidP="00884F25">
      <w:pPr>
        <w:pStyle w:val="BodyText"/>
        <w:spacing w:before="90" w:line="280" w:lineRule="auto"/>
        <w:ind w:left="100"/>
        <w:jc w:val="both"/>
      </w:pPr>
      <w:r w:rsidRPr="005D299C">
        <w:t xml:space="preserve">Statement of the Problem: </w:t>
      </w:r>
      <w:r w:rsidR="00EE2C17" w:rsidRPr="005D299C">
        <w:t>The most critical stage of the analytical process is the preparation of the sample requiring different stages prior to analysis, long extraction times, large volumes of reagents, etc., with the objective of obtaining a good clean-up for the analysis by instrumental techniques</w:t>
      </w:r>
      <w:r w:rsidR="008426B6" w:rsidRPr="005D299C">
        <w:t xml:space="preserve"> </w:t>
      </w:r>
      <w:r w:rsidR="00EE2C17" w:rsidRPr="005D299C">
        <w:t xml:space="preserve"> (as HPLC). Nowadays, o</w:t>
      </w:r>
      <w:r w:rsidR="00896A5F" w:rsidRPr="005D299C">
        <w:t xml:space="preserve">ne of the dominant trends in sample preparation is miniaturization and automation. In this paper, we present the advantages presented by the use of microfluidic systems in this field. These devices allow to work in different </w:t>
      </w:r>
      <w:r w:rsidR="000444A8" w:rsidRPr="005D299C">
        <w:t xml:space="preserve">configuration </w:t>
      </w:r>
      <w:r w:rsidR="00896A5F" w:rsidRPr="005D299C">
        <w:t xml:space="preserve">s depending on the nature of the analyte to be extracted: either by liquid phase microextraction or by </w:t>
      </w:r>
      <w:proofErr w:type="spellStart"/>
      <w:r w:rsidR="00896A5F" w:rsidRPr="005D299C">
        <w:t>electromembranes</w:t>
      </w:r>
      <w:proofErr w:type="spellEnd"/>
      <w:r w:rsidR="00896A5F" w:rsidRPr="005D299C">
        <w:t>.</w:t>
      </w:r>
      <w:r w:rsidR="00EE2C17" w:rsidRPr="005D299C">
        <w:t xml:space="preserve"> </w:t>
      </w:r>
    </w:p>
    <w:p w:rsidR="00896A5F" w:rsidRPr="005D299C" w:rsidRDefault="00A9710C">
      <w:pPr>
        <w:pStyle w:val="BodyText"/>
        <w:spacing w:before="90" w:line="280" w:lineRule="auto"/>
        <w:ind w:left="100"/>
        <w:jc w:val="both"/>
      </w:pPr>
      <w:r w:rsidRPr="005D299C">
        <w:t>Methodolog</w:t>
      </w:r>
      <w:r w:rsidR="008756E6" w:rsidRPr="005D299C">
        <w:t xml:space="preserve">y: </w:t>
      </w:r>
      <w:r w:rsidR="00EE2C17" w:rsidRPr="005D299C">
        <w:t xml:space="preserve">Our group have demonstrated the possibility of on-line and off-line analysis by HPLC. </w:t>
      </w:r>
      <w:r w:rsidR="00884F25" w:rsidRPr="005D299C">
        <w:t xml:space="preserve">Two pumps are used to introduce the sample and the acceptor phase into the microfluidic device. The microfluidic device is fabricated using two patterned plates of </w:t>
      </w:r>
      <w:proofErr w:type="gramStart"/>
      <w:r w:rsidR="00884F25" w:rsidRPr="005D299C">
        <w:t>poly(</w:t>
      </w:r>
      <w:proofErr w:type="gramEnd"/>
      <w:r w:rsidR="00884F25" w:rsidRPr="005D299C">
        <w:t xml:space="preserve">methyl methacrylate), which are symmetrical. The channels are separated by a polypropylene membrane.  For off-line analysis, the acceptor outlet (extract) is collected and injected directly into a HPLC. For on-line analysis, the acceptor outlet is connected to the HPLC. </w:t>
      </w:r>
    </w:p>
    <w:p w:rsidR="00896A5F" w:rsidRDefault="00A9710C">
      <w:pPr>
        <w:pStyle w:val="BodyText"/>
        <w:spacing w:before="90" w:line="280" w:lineRule="auto"/>
        <w:ind w:left="100"/>
        <w:jc w:val="both"/>
      </w:pPr>
      <w:r w:rsidRPr="005D299C">
        <w:t xml:space="preserve">Findings: </w:t>
      </w:r>
      <w:r w:rsidR="00896A5F" w:rsidRPr="005D299C">
        <w:t xml:space="preserve">This type of device provides high selectivity, clean-up, reduces sample volume and </w:t>
      </w:r>
      <w:r w:rsidR="00884F25" w:rsidRPr="005D299C">
        <w:t xml:space="preserve">low consumption of </w:t>
      </w:r>
      <w:r w:rsidR="00896A5F" w:rsidRPr="005D299C">
        <w:t>reagents, significantly reduces</w:t>
      </w:r>
      <w:r w:rsidR="00896A5F">
        <w:t xml:space="preserve"> </w:t>
      </w:r>
      <w:r w:rsidR="00884F25">
        <w:t>time of analysis</w:t>
      </w:r>
      <w:r w:rsidR="00896A5F">
        <w:t xml:space="preserve"> and has demonstrated its ability to online coupling with HPLC.</w:t>
      </w:r>
      <w:r w:rsidR="00361868">
        <w:t xml:space="preserve"> Additionally, the microchip-devices are reusable (allow membrane exchange) and each membrane is stable during more than ten consecutive </w:t>
      </w:r>
      <w:proofErr w:type="spellStart"/>
      <w:r w:rsidR="00361868">
        <w:t>microextractions</w:t>
      </w:r>
      <w:proofErr w:type="spellEnd"/>
      <w:r w:rsidR="00361868">
        <w:t xml:space="preserve">. </w:t>
      </w:r>
    </w:p>
    <w:p w:rsidR="00AE3E37" w:rsidRDefault="00A9710C">
      <w:pPr>
        <w:pStyle w:val="BodyText"/>
        <w:spacing w:before="90" w:line="280" w:lineRule="auto"/>
        <w:ind w:left="100"/>
        <w:jc w:val="both"/>
      </w:pPr>
      <w:r>
        <w:t xml:space="preserve">Conclusion &amp; Significance: </w:t>
      </w:r>
      <w:r w:rsidR="00361868">
        <w:t>The miniaturization and automatization of sample treatment procedures (on-chip) offer multiple advantages compared with existing traditional techniques. It also, offer excellent clean-up either with biological</w:t>
      </w:r>
      <w:r w:rsidR="00DB619E">
        <w:t xml:space="preserve"> or environmental samples and significantly reduce the time of analysis from the sample collection till data obtaining.  </w:t>
      </w:r>
    </w:p>
    <w:p w:rsidR="00AE3E37" w:rsidRDefault="00A9710C">
      <w:pPr>
        <w:pStyle w:val="Heading3"/>
        <w:spacing w:before="74"/>
        <w:rPr>
          <w:color w:val="BF5A14"/>
        </w:rPr>
      </w:pPr>
      <w:r>
        <w:rPr>
          <w:b w:val="0"/>
        </w:rPr>
        <w:br w:type="column"/>
      </w:r>
      <w:r>
        <w:rPr>
          <w:color w:val="BF5A14"/>
        </w:rPr>
        <w:t>Image</w:t>
      </w:r>
    </w:p>
    <w:p w:rsidR="009F10DB" w:rsidRDefault="00AA465A">
      <w:pPr>
        <w:pStyle w:val="Heading3"/>
        <w:spacing w:before="74"/>
      </w:pPr>
      <w:r>
        <w:rPr>
          <w:noProof/>
        </w:rPr>
        <mc:AlternateContent>
          <mc:Choice Requires="wps">
            <w:drawing>
              <wp:anchor distT="0" distB="0" distL="114300" distR="114300" simplePos="0" relativeHeight="251659264" behindDoc="0" locked="0" layoutInCell="1" allowOverlap="1">
                <wp:simplePos x="0" y="0"/>
                <wp:positionH relativeFrom="column">
                  <wp:posOffset>817245</wp:posOffset>
                </wp:positionH>
                <wp:positionV relativeFrom="paragraph">
                  <wp:posOffset>1182370</wp:posOffset>
                </wp:positionV>
                <wp:extent cx="1190625" cy="254635"/>
                <wp:effectExtent l="0" t="0" r="28575" b="12065"/>
                <wp:wrapNone/>
                <wp:docPr id="66" name="Rectangle 66"/>
                <wp:cNvGraphicFramePr/>
                <a:graphic xmlns:a="http://schemas.openxmlformats.org/drawingml/2006/main">
                  <a:graphicData uri="http://schemas.microsoft.com/office/word/2010/wordprocessingShape">
                    <wps:wsp>
                      <wps:cNvSpPr/>
                      <wps:spPr>
                        <a:xfrm>
                          <a:off x="0" y="0"/>
                          <a:ext cx="1190625" cy="254635"/>
                        </a:xfrm>
                        <a:prstGeom prst="rect">
                          <a:avLst/>
                        </a:prstGeom>
                        <a:solidFill>
                          <a:schemeClr val="accent4">
                            <a:lumMod val="75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A465A" w:rsidRPr="00AA465A" w:rsidRDefault="00AA465A" w:rsidP="00AA465A">
                            <w:pPr>
                              <w:jc w:val="center"/>
                              <w:rPr>
                                <w:sz w:val="20"/>
                                <w:szCs w:val="20"/>
                                <w:lang w:val="es-ES"/>
                              </w:rPr>
                            </w:pPr>
                            <w:proofErr w:type="spellStart"/>
                            <w:r w:rsidRPr="00AA465A">
                              <w:rPr>
                                <w:sz w:val="20"/>
                                <w:szCs w:val="20"/>
                                <w:lang w:val="es-ES"/>
                              </w:rPr>
                              <w:t>Microfluidic</w:t>
                            </w:r>
                            <w:proofErr w:type="spellEnd"/>
                            <w:r w:rsidRPr="00AA465A">
                              <w:rPr>
                                <w:sz w:val="20"/>
                                <w:szCs w:val="20"/>
                                <w:lang w:val="es-ES"/>
                              </w:rPr>
                              <w:t xml:space="preserve"> </w:t>
                            </w:r>
                            <w:proofErr w:type="spellStart"/>
                            <w:r w:rsidRPr="00AA465A">
                              <w:rPr>
                                <w:sz w:val="20"/>
                                <w:szCs w:val="20"/>
                                <w:lang w:val="es-ES"/>
                              </w:rPr>
                              <w:t>device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26" style="position:absolute;left:0;text-align:left;margin-left:64.35pt;margin-top:93.1pt;width:93.75pt;height:2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" fillcolor="#5f497a [2407]" strokecolor="#c4bc96 [2414]" strokeweight="2pt">
                <v:textbox>
                  <w:txbxContent>
                    <w:p w:rsidR="00AA465A" w:rsidRPr="00AA465A" w:rsidRDefault="00AA465A" w:rsidP="00AA465A">
                      <w:pPr>
                        <w:jc w:val="center"/>
                        <w:rPr>
                          <w:sz w:val="20"/>
                          <w:szCs w:val="20"/>
                          <w:lang w:val="es-ES"/>
                        </w:rPr>
                      </w:pPr>
                      <w:proofErr w:type="spellStart"/>
                      <w:r w:rsidRPr="00AA465A">
                        <w:rPr>
                          <w:sz w:val="20"/>
                          <w:szCs w:val="20"/>
                          <w:lang w:val="es-ES"/>
                        </w:rPr>
                        <w:t>Microfluidic</w:t>
                      </w:r>
                      <w:proofErr w:type="spellEnd"/>
                      <w:r w:rsidRPr="00AA465A">
                        <w:rPr>
                          <w:sz w:val="20"/>
                          <w:szCs w:val="20"/>
                          <w:lang w:val="es-ES"/>
                        </w:rPr>
                        <w:t xml:space="preserve"> </w:t>
                      </w:r>
                      <w:proofErr w:type="spellStart"/>
                      <w:r w:rsidRPr="00AA465A">
                        <w:rPr>
                          <w:sz w:val="20"/>
                          <w:szCs w:val="20"/>
                          <w:lang w:val="es-ES"/>
                        </w:rPr>
                        <w:t>device</w:t>
                      </w:r>
                      <w:proofErr w:type="spellEnd"/>
                    </w:p>
                  </w:txbxContent>
                </v:textbox>
              </v:rect>
            </w:pict>
          </mc:Fallback>
        </mc:AlternateContent>
      </w:r>
      <w:r w:rsidR="009F10DB" w:rsidRPr="009F10DB">
        <w:rPr>
          <w:noProof/>
        </w:rPr>
        <w:drawing>
          <wp:inline distT="0" distB="0" distL="0" distR="0">
            <wp:extent cx="3165475" cy="1369651"/>
            <wp:effectExtent l="0" t="0" r="0" b="2540"/>
            <wp:docPr id="65" name="Picture 65" descr="E:\Congresos\2017 Cromatography Roma\dibujo ch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Congresos\2017 Cromatography Roma\dibujo chi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369651"/>
                    </a:xfrm>
                    <a:prstGeom prst="rect">
                      <a:avLst/>
                    </a:prstGeom>
                    <a:noFill/>
                    <a:ln>
                      <a:noFill/>
                    </a:ln>
                  </pic:spPr>
                </pic:pic>
              </a:graphicData>
            </a:graphic>
          </wp:inline>
        </w:drawing>
      </w:r>
    </w:p>
    <w:p w:rsidR="009F10DB" w:rsidRPr="00455DEA" w:rsidRDefault="009F10DB">
      <w:pPr>
        <w:pStyle w:val="Heading3"/>
        <w:spacing w:before="74"/>
        <w:rPr>
          <w:b w:val="0"/>
          <w:sz w:val="16"/>
          <w:szCs w:val="16"/>
        </w:rPr>
      </w:pPr>
      <w:r w:rsidRPr="00455DEA">
        <w:rPr>
          <w:b w:val="0"/>
          <w:sz w:val="16"/>
          <w:szCs w:val="16"/>
        </w:rPr>
        <w:t>Figure 1. Schem</w:t>
      </w:r>
      <w:r w:rsidR="00AA465A" w:rsidRPr="00455DEA">
        <w:rPr>
          <w:b w:val="0"/>
          <w:sz w:val="16"/>
          <w:szCs w:val="16"/>
        </w:rPr>
        <w:t>atic of microfluidic device. The extract collected is analyzed by HPLC.</w:t>
      </w:r>
    </w:p>
    <w:p w:rsidR="00AE3E37" w:rsidRDefault="00AE3E37">
      <w:pPr>
        <w:pStyle w:val="BodyText"/>
        <w:spacing w:before="2"/>
        <w:rPr>
          <w:rFonts w:ascii="Arial"/>
          <w:b/>
          <w:sz w:val="16"/>
        </w:rPr>
      </w:pPr>
    </w:p>
    <w:p w:rsidR="00377D81" w:rsidRPr="00377D81" w:rsidRDefault="009F10DB" w:rsidP="005973B9">
      <w:pPr>
        <w:spacing w:line="204" w:lineRule="exact"/>
        <w:rPr>
          <w:rFonts w:ascii="Arial"/>
          <w:b/>
          <w:color w:val="BF5A14"/>
          <w:sz w:val="20"/>
        </w:rPr>
      </w:pPr>
      <w:r w:rsidRPr="009F10DB">
        <w:rPr>
          <w:rFonts w:ascii="Arial"/>
          <w:b/>
          <w:noProof/>
          <w:color w:val="BF5A14"/>
          <w:sz w:val="20"/>
        </w:rPr>
        <w:drawing>
          <wp:inline distT="0" distB="0" distL="0" distR="0">
            <wp:extent cx="3165475" cy="1369651"/>
            <wp:effectExtent l="0" t="0" r="0" b="2540"/>
            <wp:docPr id="64" name="Picture 64" descr="E:\Congresos\2017 Cromatography Roma\dibujo ch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Congresos\2017 Cromatography Roma\dibujo chi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369651"/>
                    </a:xfrm>
                    <a:prstGeom prst="rect">
                      <a:avLst/>
                    </a:prstGeom>
                    <a:noFill/>
                    <a:ln>
                      <a:noFill/>
                    </a:ln>
                  </pic:spPr>
                </pic:pic>
              </a:graphicData>
            </a:graphic>
          </wp:inline>
        </w:drawing>
      </w:r>
      <w:r w:rsidR="005973B9">
        <w:rPr>
          <w:rFonts w:ascii="Arial"/>
          <w:b/>
          <w:color w:val="BF5A14"/>
          <w:sz w:val="20"/>
        </w:rPr>
        <w:br/>
        <w:t xml:space="preserve">Recent Publications </w:t>
      </w:r>
    </w:p>
    <w:p w:rsidR="00DD4B63" w:rsidRPr="00DD4B63" w:rsidRDefault="00DD4B63" w:rsidP="005341FA">
      <w:pPr>
        <w:pStyle w:val="ListParagraph"/>
        <w:numPr>
          <w:ilvl w:val="0"/>
          <w:numId w:val="3"/>
        </w:numPr>
        <w:tabs>
          <w:tab w:val="left" w:pos="384"/>
        </w:tabs>
        <w:spacing w:line="216" w:lineRule="exact"/>
        <w:ind w:right="138"/>
        <w:rPr>
          <w:sz w:val="18"/>
        </w:rPr>
      </w:pPr>
      <w:r w:rsidRPr="00DD4B63">
        <w:rPr>
          <w:sz w:val="18"/>
          <w:lang w:val="pt-PT"/>
        </w:rPr>
        <w:t xml:space="preserve">Maria Ramos Payan; Santiago Maspoch; Andreu Llobera. </w:t>
      </w:r>
      <w:r w:rsidRPr="00DD4B63">
        <w:rPr>
          <w:sz w:val="18"/>
        </w:rPr>
        <w:t>An effective microfluidic based liquid-phase microextraction device (</w:t>
      </w:r>
      <w:proofErr w:type="spellStart"/>
      <w:r w:rsidRPr="00DD4B63">
        <w:rPr>
          <w:sz w:val="18"/>
        </w:rPr>
        <w:t>μLPME</w:t>
      </w:r>
      <w:proofErr w:type="spellEnd"/>
      <w:r w:rsidRPr="00DD4B63">
        <w:rPr>
          <w:sz w:val="18"/>
        </w:rPr>
        <w:t xml:space="preserve">) for extraction of non-steroidal anti-inflammatory drugs from biological and environmental samples. </w:t>
      </w:r>
      <w:proofErr w:type="spellStart"/>
      <w:r w:rsidRPr="00DD4B63">
        <w:rPr>
          <w:sz w:val="18"/>
        </w:rPr>
        <w:t>Talanta</w:t>
      </w:r>
      <w:proofErr w:type="spellEnd"/>
      <w:r w:rsidRPr="00DD4B63">
        <w:rPr>
          <w:sz w:val="18"/>
        </w:rPr>
        <w:t xml:space="preserve"> </w:t>
      </w:r>
      <w:r w:rsidR="00E4158D">
        <w:rPr>
          <w:sz w:val="18"/>
        </w:rPr>
        <w:t xml:space="preserve">165, </w:t>
      </w:r>
      <w:r w:rsidRPr="00DD4B63">
        <w:rPr>
          <w:sz w:val="18"/>
        </w:rPr>
        <w:t>496 - 501.</w:t>
      </w:r>
    </w:p>
    <w:p w:rsidR="00DD4B63" w:rsidRPr="00DD4B63" w:rsidRDefault="00DD4B63" w:rsidP="00E4158D">
      <w:pPr>
        <w:pStyle w:val="ListParagraph"/>
        <w:numPr>
          <w:ilvl w:val="0"/>
          <w:numId w:val="3"/>
        </w:numPr>
        <w:tabs>
          <w:tab w:val="left" w:pos="384"/>
        </w:tabs>
        <w:spacing w:line="216" w:lineRule="exact"/>
        <w:ind w:right="138"/>
        <w:rPr>
          <w:sz w:val="18"/>
        </w:rPr>
      </w:pPr>
      <w:r w:rsidRPr="00DD4B63">
        <w:rPr>
          <w:sz w:val="18"/>
          <w:lang w:val="pt-PT"/>
        </w:rPr>
        <w:t xml:space="preserve">Maria Ramos Payan; Santiago Maspoch; Andreu Llobera. </w:t>
      </w:r>
      <w:r w:rsidRPr="00DD4B63">
        <w:rPr>
          <w:sz w:val="18"/>
        </w:rPr>
        <w:t>A simple and fast Double-Flow microfluidic device based liquid-phase microextraction (DF-µLPME) for the determination of parabens in water samples.</w:t>
      </w:r>
      <w:r w:rsidR="00E4158D">
        <w:rPr>
          <w:sz w:val="18"/>
        </w:rPr>
        <w:t xml:space="preserve"> </w:t>
      </w:r>
      <w:proofErr w:type="spellStart"/>
      <w:r w:rsidR="00E4158D">
        <w:rPr>
          <w:sz w:val="18"/>
        </w:rPr>
        <w:t>Talanta</w:t>
      </w:r>
      <w:proofErr w:type="spellEnd"/>
      <w:r w:rsidR="00E4158D">
        <w:rPr>
          <w:sz w:val="18"/>
        </w:rPr>
        <w:t xml:space="preserve"> 165, </w:t>
      </w:r>
      <w:r w:rsidR="00E4158D" w:rsidRPr="00E4158D">
        <w:rPr>
          <w:sz w:val="18"/>
        </w:rPr>
        <w:t>496-501</w:t>
      </w:r>
    </w:p>
    <w:p w:rsidR="00AE3E37" w:rsidRDefault="00DD4B63" w:rsidP="00DD4B63">
      <w:pPr>
        <w:pStyle w:val="ListParagraph"/>
        <w:numPr>
          <w:ilvl w:val="0"/>
          <w:numId w:val="3"/>
        </w:numPr>
        <w:tabs>
          <w:tab w:val="left" w:pos="384"/>
        </w:tabs>
        <w:spacing w:line="216" w:lineRule="exact"/>
        <w:ind w:right="138"/>
      </w:pPr>
      <w:r w:rsidRPr="005B4A8A">
        <w:rPr>
          <w:sz w:val="18"/>
          <w:lang w:val="sv-SE"/>
        </w:rPr>
        <w:t xml:space="preserve">María Ramos Payán; Henrik Jensen; Nicolaj Petersen; Steen Honorée; Sig Pedersen Bjeergard. </w:t>
      </w:r>
      <w:r w:rsidRPr="00DD4B63">
        <w:rPr>
          <w:sz w:val="18"/>
        </w:rPr>
        <w:t>Liquid-phase</w:t>
      </w:r>
      <w:r>
        <w:rPr>
          <w:sz w:val="18"/>
        </w:rPr>
        <w:t xml:space="preserve"> </w:t>
      </w:r>
      <w:r w:rsidRPr="00DD4B63">
        <w:rPr>
          <w:sz w:val="18"/>
        </w:rPr>
        <w:t>Microextraction in a microfluidic-chip – high enrichment and sample clean-up from small volumes of biological</w:t>
      </w:r>
      <w:r>
        <w:rPr>
          <w:sz w:val="18"/>
        </w:rPr>
        <w:t xml:space="preserve"> </w:t>
      </w:r>
      <w:proofErr w:type="spellStart"/>
      <w:r w:rsidRPr="00DD4B63">
        <w:rPr>
          <w:sz w:val="18"/>
        </w:rPr>
        <w:t>fluids.Analytica</w:t>
      </w:r>
      <w:proofErr w:type="spellEnd"/>
      <w:r w:rsidRPr="00DD4B63">
        <w:rPr>
          <w:sz w:val="18"/>
        </w:rPr>
        <w:t xml:space="preserve"> </w:t>
      </w:r>
      <w:proofErr w:type="spellStart"/>
      <w:r w:rsidRPr="00DD4B63">
        <w:rPr>
          <w:sz w:val="18"/>
        </w:rPr>
        <w:t>Chimica</w:t>
      </w:r>
      <w:proofErr w:type="spellEnd"/>
      <w:r w:rsidRPr="00DD4B63">
        <w:rPr>
          <w:sz w:val="18"/>
        </w:rPr>
        <w:t xml:space="preserve"> </w:t>
      </w:r>
      <w:proofErr w:type="spellStart"/>
      <w:r w:rsidRPr="00DD4B63">
        <w:rPr>
          <w:sz w:val="18"/>
        </w:rPr>
        <w:t>Acta</w:t>
      </w:r>
      <w:proofErr w:type="spellEnd"/>
      <w:r w:rsidRPr="00DD4B63">
        <w:rPr>
          <w:sz w:val="18"/>
        </w:rPr>
        <w:t xml:space="preserve"> </w:t>
      </w:r>
      <w:r w:rsidR="00E4158D">
        <w:rPr>
          <w:sz w:val="18"/>
        </w:rPr>
        <w:t>735,</w:t>
      </w:r>
      <w:r>
        <w:rPr>
          <w:sz w:val="18"/>
        </w:rPr>
        <w:t xml:space="preserve"> 46 </w:t>
      </w:r>
      <w:r w:rsidRPr="008756E6">
        <w:t xml:space="preserve"> </w:t>
      </w:r>
    </w:p>
    <w:p w:rsidR="00DD4B63" w:rsidRDefault="00DD4B63" w:rsidP="00DD4B63">
      <w:pPr>
        <w:pStyle w:val="ListParagraph"/>
        <w:numPr>
          <w:ilvl w:val="0"/>
          <w:numId w:val="3"/>
        </w:numPr>
        <w:tabs>
          <w:tab w:val="left" w:pos="384"/>
        </w:tabs>
        <w:spacing w:line="216" w:lineRule="exact"/>
        <w:ind w:right="138"/>
        <w:rPr>
          <w:sz w:val="18"/>
          <w:szCs w:val="18"/>
        </w:rPr>
      </w:pPr>
      <w:r w:rsidRPr="005B4A8A">
        <w:rPr>
          <w:sz w:val="18"/>
          <w:szCs w:val="18"/>
          <w:lang w:val="sv-SE"/>
        </w:rPr>
        <w:t xml:space="preserve">Bin Li; Nickolaj Petersen; María Ramos Payán; Steen Honorée; Stig Pedersen Bjergaard. </w:t>
      </w:r>
      <w:r w:rsidRPr="00DD4B63">
        <w:rPr>
          <w:sz w:val="18"/>
          <w:szCs w:val="18"/>
        </w:rPr>
        <w:t>Automated on-line</w:t>
      </w:r>
      <w:r>
        <w:rPr>
          <w:sz w:val="18"/>
          <w:szCs w:val="18"/>
        </w:rPr>
        <w:t xml:space="preserve"> </w:t>
      </w:r>
      <w:r w:rsidRPr="00DD4B63">
        <w:rPr>
          <w:sz w:val="18"/>
          <w:szCs w:val="18"/>
        </w:rPr>
        <w:t>clean-up and enrichment of opium alkaloids using a liquid-phase microextraction-chip directly coupled to</w:t>
      </w:r>
      <w:r>
        <w:rPr>
          <w:sz w:val="18"/>
          <w:szCs w:val="18"/>
        </w:rPr>
        <w:t xml:space="preserve"> </w:t>
      </w:r>
      <w:r w:rsidRPr="00DD4B63">
        <w:rPr>
          <w:sz w:val="18"/>
          <w:szCs w:val="18"/>
        </w:rPr>
        <w:t>high-performanc</w:t>
      </w:r>
      <w:r>
        <w:rPr>
          <w:sz w:val="18"/>
          <w:szCs w:val="18"/>
        </w:rPr>
        <w:t xml:space="preserve">e liquid </w:t>
      </w:r>
      <w:proofErr w:type="spellStart"/>
      <w:r>
        <w:rPr>
          <w:sz w:val="18"/>
          <w:szCs w:val="18"/>
        </w:rPr>
        <w:t>chromatography.Talanta</w:t>
      </w:r>
      <w:proofErr w:type="spellEnd"/>
      <w:r w:rsidR="00E4158D">
        <w:rPr>
          <w:sz w:val="18"/>
          <w:szCs w:val="18"/>
        </w:rPr>
        <w:t xml:space="preserve"> 120, </w:t>
      </w:r>
      <w:r w:rsidRPr="00DD4B63">
        <w:rPr>
          <w:sz w:val="18"/>
          <w:szCs w:val="18"/>
        </w:rPr>
        <w:t>224 - 229.</w:t>
      </w:r>
    </w:p>
    <w:p w:rsidR="00DD4B63" w:rsidRPr="00DD4B63" w:rsidRDefault="00DD4B63" w:rsidP="00DD4B63">
      <w:pPr>
        <w:pStyle w:val="ListParagraph"/>
        <w:numPr>
          <w:ilvl w:val="0"/>
          <w:numId w:val="3"/>
        </w:numPr>
        <w:tabs>
          <w:tab w:val="left" w:pos="384"/>
        </w:tabs>
        <w:spacing w:line="216" w:lineRule="exact"/>
        <w:ind w:right="138"/>
        <w:rPr>
          <w:sz w:val="18"/>
          <w:szCs w:val="18"/>
        </w:rPr>
      </w:pPr>
      <w:r w:rsidRPr="005B4A8A">
        <w:rPr>
          <w:sz w:val="18"/>
          <w:szCs w:val="18"/>
          <w:lang w:val="sv-SE"/>
        </w:rPr>
        <w:t xml:space="preserve">María Ramos Payán; Bin Li; Henrik Jensen; Nickolaj Petersen; Steen Honoreé; Stig Pedersen Bjergaard. </w:t>
      </w:r>
      <w:r w:rsidRPr="00DD4B63">
        <w:rPr>
          <w:sz w:val="18"/>
          <w:szCs w:val="18"/>
        </w:rPr>
        <w:t>Nano-</w:t>
      </w:r>
      <w:proofErr w:type="spellStart"/>
      <w:r w:rsidRPr="00DD4B63">
        <w:rPr>
          <w:sz w:val="18"/>
          <w:szCs w:val="18"/>
        </w:rPr>
        <w:t>Electromembrane</w:t>
      </w:r>
      <w:proofErr w:type="spellEnd"/>
      <w:r w:rsidRPr="00DD4B63">
        <w:rPr>
          <w:sz w:val="18"/>
          <w:szCs w:val="18"/>
        </w:rPr>
        <w:t xml:space="preserve"> Extract</w:t>
      </w:r>
      <w:r>
        <w:rPr>
          <w:sz w:val="18"/>
          <w:szCs w:val="18"/>
        </w:rPr>
        <w:t xml:space="preserve">ion. </w:t>
      </w:r>
      <w:proofErr w:type="spellStart"/>
      <w:r>
        <w:rPr>
          <w:sz w:val="18"/>
          <w:szCs w:val="18"/>
        </w:rPr>
        <w:t>Analytica</w:t>
      </w:r>
      <w:proofErr w:type="spellEnd"/>
      <w:r>
        <w:rPr>
          <w:sz w:val="18"/>
          <w:szCs w:val="18"/>
        </w:rPr>
        <w:t xml:space="preserve"> </w:t>
      </w:r>
      <w:proofErr w:type="spellStart"/>
      <w:r>
        <w:rPr>
          <w:sz w:val="18"/>
          <w:szCs w:val="18"/>
        </w:rPr>
        <w:t>Chimica</w:t>
      </w:r>
      <w:proofErr w:type="spellEnd"/>
      <w:r>
        <w:rPr>
          <w:sz w:val="18"/>
          <w:szCs w:val="18"/>
        </w:rPr>
        <w:t xml:space="preserve"> </w:t>
      </w:r>
      <w:proofErr w:type="spellStart"/>
      <w:r>
        <w:rPr>
          <w:sz w:val="18"/>
          <w:szCs w:val="18"/>
        </w:rPr>
        <w:t>Acta</w:t>
      </w:r>
      <w:proofErr w:type="spellEnd"/>
      <w:r>
        <w:rPr>
          <w:sz w:val="18"/>
          <w:szCs w:val="18"/>
        </w:rPr>
        <w:t xml:space="preserve"> </w:t>
      </w:r>
      <w:r w:rsidR="00E4158D">
        <w:rPr>
          <w:sz w:val="18"/>
          <w:szCs w:val="18"/>
        </w:rPr>
        <w:t xml:space="preserve">785, </w:t>
      </w:r>
      <w:r w:rsidRPr="00DD4B63">
        <w:rPr>
          <w:sz w:val="18"/>
          <w:szCs w:val="18"/>
        </w:rPr>
        <w:t>60 - 66.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ACFF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B619E">
        <w:rPr>
          <w:noProof/>
        </w:rPr>
        <w:drawing>
          <wp:inline distT="0" distB="0" distL="0" distR="0" wp14:anchorId="09EC5188" wp14:editId="4A00851B">
            <wp:extent cx="630069" cy="417945"/>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41794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r w:rsidR="00212C0C">
        <w:rPr>
          <w:rFonts w:ascii="Arial"/>
          <w:color w:val="BF5A14"/>
        </w:rPr>
        <w:t xml:space="preserve"> </w:t>
      </w:r>
    </w:p>
    <w:p w:rsidR="005D299C" w:rsidRPr="006F20B9" w:rsidRDefault="005D299C" w:rsidP="005D299C">
      <w:pPr>
        <w:jc w:val="both"/>
        <w:rPr>
          <w:rFonts w:ascii="Arial" w:hAnsi="Arial" w:cs="Arial"/>
          <w:sz w:val="14"/>
          <w:szCs w:val="14"/>
        </w:rPr>
      </w:pPr>
      <w:r w:rsidRPr="006F20B9">
        <w:rPr>
          <w:rFonts w:ascii="Arial" w:hAnsi="Arial" w:cs="Arial"/>
          <w:sz w:val="14"/>
          <w:szCs w:val="14"/>
        </w:rPr>
        <w:t xml:space="preserve">Dr. </w:t>
      </w:r>
      <w:proofErr w:type="spellStart"/>
      <w:r w:rsidRPr="006F20B9">
        <w:rPr>
          <w:rFonts w:ascii="Arial" w:hAnsi="Arial" w:cs="Arial"/>
          <w:sz w:val="14"/>
          <w:szCs w:val="14"/>
        </w:rPr>
        <w:t>María</w:t>
      </w:r>
      <w:proofErr w:type="spellEnd"/>
      <w:r w:rsidRPr="006F20B9">
        <w:rPr>
          <w:rFonts w:ascii="Arial" w:hAnsi="Arial" w:cs="Arial"/>
          <w:sz w:val="14"/>
          <w:szCs w:val="14"/>
        </w:rPr>
        <w:t xml:space="preserve"> Ramos Payán has completed her PhD from University of Seville, Spain and postdoctoral studies from University of Copenhagen (Denmark), University of North Carolina (USA) and Microelectronic National Center of Barcelona (Spain). She is leader of the microfluidic research line. She has published more than 30 papers in reputed journals and has been serving as an editorial board member of repute.</w:t>
      </w:r>
    </w:p>
    <w:p w:rsidR="005D299C" w:rsidRPr="006F20B9" w:rsidRDefault="005D299C" w:rsidP="005D299C">
      <w:pPr>
        <w:jc w:val="both"/>
        <w:rPr>
          <w:rFonts w:ascii="Arial" w:hAnsi="Arial" w:cs="Arial"/>
          <w:sz w:val="14"/>
          <w:szCs w:val="14"/>
        </w:rPr>
      </w:pPr>
    </w:p>
    <w:p w:rsidR="005D299C" w:rsidRPr="006F20B9" w:rsidRDefault="005D299C" w:rsidP="005D299C">
      <w:pPr>
        <w:jc w:val="both"/>
        <w:rPr>
          <w:rFonts w:ascii="Arial" w:hAnsi="Arial" w:cs="Arial"/>
          <w:b/>
          <w:sz w:val="14"/>
          <w:szCs w:val="14"/>
        </w:rPr>
      </w:pPr>
      <w:r w:rsidRPr="006F20B9">
        <w:rPr>
          <w:rFonts w:ascii="Arial" w:hAnsi="Arial" w:cs="Arial"/>
          <w:b/>
          <w:sz w:val="14"/>
          <w:szCs w:val="14"/>
        </w:rPr>
        <w:t>Acknowledgements</w:t>
      </w:r>
    </w:p>
    <w:p w:rsidR="005D299C" w:rsidRPr="006F20B9" w:rsidRDefault="005D299C" w:rsidP="005D299C">
      <w:pPr>
        <w:jc w:val="both"/>
        <w:rPr>
          <w:rFonts w:ascii="Arial" w:hAnsi="Arial" w:cs="Arial"/>
          <w:color w:val="000000" w:themeColor="text1"/>
          <w:sz w:val="14"/>
          <w:szCs w:val="14"/>
          <w:shd w:val="clear" w:color="auto" w:fill="FFFFFF"/>
        </w:rPr>
      </w:pPr>
      <w:r w:rsidRPr="006F20B9">
        <w:rPr>
          <w:rStyle w:val="apple-converted-space"/>
          <w:rFonts w:ascii="Arial" w:hAnsi="Arial" w:cs="Arial"/>
          <w:color w:val="000000" w:themeColor="text1"/>
          <w:sz w:val="14"/>
          <w:szCs w:val="14"/>
          <w:shd w:val="clear" w:color="auto" w:fill="FFFFFF"/>
        </w:rPr>
        <w:t xml:space="preserve">This work was supported by the </w:t>
      </w:r>
      <w:r w:rsidRPr="006F20B9">
        <w:rPr>
          <w:rFonts w:ascii="Arial" w:hAnsi="Arial" w:cs="Arial"/>
          <w:color w:val="000000" w:themeColor="text1"/>
          <w:sz w:val="14"/>
          <w:szCs w:val="14"/>
          <w:shd w:val="clear" w:color="auto" w:fill="FFFFFF"/>
        </w:rPr>
        <w:t xml:space="preserve">Grant Juan de la </w:t>
      </w:r>
      <w:proofErr w:type="spellStart"/>
      <w:r w:rsidRPr="006F20B9">
        <w:rPr>
          <w:rFonts w:ascii="Arial" w:hAnsi="Arial" w:cs="Arial"/>
          <w:color w:val="000000" w:themeColor="text1"/>
          <w:sz w:val="14"/>
          <w:szCs w:val="14"/>
          <w:shd w:val="clear" w:color="auto" w:fill="FFFFFF"/>
        </w:rPr>
        <w:t>Cierva-Incorporación</w:t>
      </w:r>
      <w:proofErr w:type="spellEnd"/>
      <w:r w:rsidRPr="006F20B9">
        <w:rPr>
          <w:rFonts w:ascii="Arial" w:hAnsi="Arial" w:cs="Arial"/>
          <w:color w:val="000000" w:themeColor="text1"/>
          <w:sz w:val="14"/>
          <w:szCs w:val="14"/>
          <w:shd w:val="clear" w:color="auto" w:fill="FFFFFF"/>
        </w:rPr>
        <w:t xml:space="preserve"> (Ministry of Economy, industry and competitiveness), Grant number JCI-2015-26647. </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1" w:history="1">
        <w:r w:rsidR="00E3312D" w:rsidRPr="00DF3833">
          <w:rPr>
            <w:rStyle w:val="Hyperlink"/>
            <w:rFonts w:ascii="Arial"/>
            <w:sz w:val="14"/>
          </w:rPr>
          <w:t>ramospayan@us.es</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F00F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5C2" w:rsidRDefault="00BE45C2">
      <w:r>
        <w:separator/>
      </w:r>
    </w:p>
  </w:endnote>
  <w:endnote w:type="continuationSeparator" w:id="0">
    <w:p w:rsidR="00BE45C2" w:rsidRDefault="00BE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5C2" w:rsidRDefault="00BE45C2">
      <w:r>
        <w:separator/>
      </w:r>
    </w:p>
  </w:footnote>
  <w:footnote w:type="continuationSeparator" w:id="0">
    <w:p w:rsidR="00BE45C2" w:rsidRDefault="00BE4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44A8"/>
    <w:rsid w:val="000E2911"/>
    <w:rsid w:val="001263DF"/>
    <w:rsid w:val="00212C0C"/>
    <w:rsid w:val="00292ED9"/>
    <w:rsid w:val="00361868"/>
    <w:rsid w:val="00377D81"/>
    <w:rsid w:val="00404E5B"/>
    <w:rsid w:val="00405FA7"/>
    <w:rsid w:val="00414F7B"/>
    <w:rsid w:val="00417C19"/>
    <w:rsid w:val="004355DC"/>
    <w:rsid w:val="00455DEA"/>
    <w:rsid w:val="004749B4"/>
    <w:rsid w:val="00494130"/>
    <w:rsid w:val="004F3523"/>
    <w:rsid w:val="005973B9"/>
    <w:rsid w:val="005B3A56"/>
    <w:rsid w:val="005B4A8A"/>
    <w:rsid w:val="005D22E0"/>
    <w:rsid w:val="005D299C"/>
    <w:rsid w:val="006060CE"/>
    <w:rsid w:val="0063497F"/>
    <w:rsid w:val="006D2C5C"/>
    <w:rsid w:val="007534F6"/>
    <w:rsid w:val="007F708C"/>
    <w:rsid w:val="008426B6"/>
    <w:rsid w:val="00873DF0"/>
    <w:rsid w:val="008756E6"/>
    <w:rsid w:val="00884F25"/>
    <w:rsid w:val="00896A5F"/>
    <w:rsid w:val="0091354A"/>
    <w:rsid w:val="009B2D44"/>
    <w:rsid w:val="009C479F"/>
    <w:rsid w:val="009F10DB"/>
    <w:rsid w:val="009F4318"/>
    <w:rsid w:val="00A07E82"/>
    <w:rsid w:val="00A9710C"/>
    <w:rsid w:val="00AA465A"/>
    <w:rsid w:val="00AE3E37"/>
    <w:rsid w:val="00B21A57"/>
    <w:rsid w:val="00BE45C2"/>
    <w:rsid w:val="00C33602"/>
    <w:rsid w:val="00CD6F55"/>
    <w:rsid w:val="00DB619E"/>
    <w:rsid w:val="00DD4B63"/>
    <w:rsid w:val="00DE3104"/>
    <w:rsid w:val="00E3312D"/>
    <w:rsid w:val="00E4158D"/>
    <w:rsid w:val="00EE2C17"/>
    <w:rsid w:val="00F72EEA"/>
    <w:rsid w:val="00F84CAE"/>
    <w:rsid w:val="00FB4E89"/>
    <w:rsid w:val="00FD2F48"/>
    <w:rsid w:val="00FF12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19321E-5E4A-4EDB-BAF1-A85B99C0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F10DB"/>
    <w:pPr>
      <w:widowControl/>
      <w:spacing w:before="100" w:beforeAutospacing="1" w:after="100" w:afterAutospacing="1"/>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5D2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mospayan@us.es"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UNC Support</cp:lastModifiedBy>
  <cp:revision>4</cp:revision>
  <dcterms:created xsi:type="dcterms:W3CDTF">2018-01-14T17:57:00Z</dcterms:created>
  <dcterms:modified xsi:type="dcterms:W3CDTF">2018-01-14T18:54:00Z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