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1FA3" w:rsidRPr="005D299C" w:rsidRDefault="00B01FA3" w:rsidP="00B01FA3">
      <w:pPr>
        <w:pStyle w:val="Heading1"/>
        <w:spacing w:before="170"/>
        <w:ind w:left="0"/>
        <w:rPr>
          <w:color w:val="548DD4" w:themeColor="text2" w:themeTint="99"/>
        </w:rPr>
      </w:pPr>
      <w:r>
        <w:rPr>
          <w:color w:val="548DD4" w:themeColor="text2" w:themeTint="99"/>
        </w:rPr>
        <w:t xml:space="preserve">Study of the efficiency of the electrode applied to </w:t>
      </w:r>
      <w:proofErr w:type="spellStart"/>
      <w:r>
        <w:rPr>
          <w:color w:val="548DD4" w:themeColor="text2" w:themeTint="99"/>
        </w:rPr>
        <w:t>Electromembrane</w:t>
      </w:r>
      <w:proofErr w:type="spellEnd"/>
      <w:r>
        <w:rPr>
          <w:color w:val="548DD4" w:themeColor="text2" w:themeTint="99"/>
        </w:rPr>
        <w:t xml:space="preserve"> extraction as sample pre-treatment</w:t>
      </w:r>
      <w:bookmarkStart w:id="0" w:name="_GoBack"/>
      <w:bookmarkEnd w:id="0"/>
      <w:r w:rsidRPr="005D299C">
        <w:rPr>
          <w:color w:val="548DD4" w:themeColor="text2" w:themeTint="99"/>
        </w:rPr>
        <w:t xml:space="preserve"> </w:t>
      </w:r>
    </w:p>
    <w:p w:rsidR="00B01FA3" w:rsidRPr="005D299C" w:rsidRDefault="00B01FA3" w:rsidP="00B01FA3">
      <w:pPr>
        <w:pStyle w:val="BodyText"/>
        <w:spacing w:before="73" w:line="198" w:lineRule="exact"/>
        <w:ind w:right="5987"/>
        <w:rPr>
          <w:rFonts w:ascii="Arial"/>
        </w:rPr>
      </w:pPr>
      <w:proofErr w:type="spellStart"/>
      <w:r w:rsidRPr="005D299C">
        <w:rPr>
          <w:rFonts w:ascii="Arial"/>
        </w:rPr>
        <w:t>Mar</w:t>
      </w:r>
      <w:r w:rsidRPr="005D299C">
        <w:rPr>
          <w:rFonts w:ascii="Arial"/>
        </w:rPr>
        <w:t>í</w:t>
      </w:r>
      <w:r w:rsidRPr="005D299C">
        <w:rPr>
          <w:rFonts w:ascii="Arial"/>
        </w:rPr>
        <w:t>a</w:t>
      </w:r>
      <w:proofErr w:type="spellEnd"/>
      <w:r w:rsidRPr="005D299C">
        <w:rPr>
          <w:rFonts w:ascii="Arial"/>
        </w:rPr>
        <w:t xml:space="preserve"> Ramos Pay</w:t>
      </w:r>
      <w:r w:rsidRPr="005D299C">
        <w:rPr>
          <w:rFonts w:ascii="Arial"/>
        </w:rPr>
        <w:t>á</w:t>
      </w:r>
      <w:r w:rsidRPr="005D299C">
        <w:rPr>
          <w:rFonts w:ascii="Arial"/>
        </w:rPr>
        <w:t xml:space="preserve">n, PhD, </w:t>
      </w:r>
      <w:r w:rsidRPr="005D299C">
        <w:rPr>
          <w:rFonts w:asciiTheme="minorHAnsi" w:hAnsiTheme="minorHAnsi"/>
          <w:sz w:val="20"/>
          <w:szCs w:val="20"/>
        </w:rPr>
        <w:t xml:space="preserve">Department of Analytical Chemistry, Faculty of Chemistry, University of </w:t>
      </w:r>
      <w:proofErr w:type="spellStart"/>
      <w:r w:rsidRPr="005D299C">
        <w:rPr>
          <w:rFonts w:asciiTheme="minorHAnsi" w:hAnsiTheme="minorHAnsi"/>
          <w:sz w:val="20"/>
          <w:szCs w:val="20"/>
        </w:rPr>
        <w:t>Sevilla</w:t>
      </w:r>
      <w:proofErr w:type="spellEnd"/>
      <w:r w:rsidRPr="005D299C">
        <w:rPr>
          <w:rFonts w:asciiTheme="minorHAnsi" w:hAnsiTheme="minorHAnsi"/>
          <w:sz w:val="20"/>
          <w:szCs w:val="20"/>
        </w:rPr>
        <w:t xml:space="preserve">, c/Prof. </w:t>
      </w:r>
      <w:proofErr w:type="spellStart"/>
      <w:r w:rsidRPr="005D299C">
        <w:rPr>
          <w:rFonts w:asciiTheme="minorHAnsi" w:hAnsiTheme="minorHAnsi"/>
          <w:sz w:val="20"/>
          <w:szCs w:val="20"/>
        </w:rPr>
        <w:t>García</w:t>
      </w:r>
      <w:proofErr w:type="spellEnd"/>
      <w:r w:rsidRPr="005D299C">
        <w:rPr>
          <w:rFonts w:asciiTheme="minorHAnsi" w:hAnsiTheme="minorHAnsi"/>
          <w:sz w:val="20"/>
          <w:szCs w:val="20"/>
        </w:rPr>
        <w:t xml:space="preserve"> González s/n, 41012, Seville, Spain</w:t>
      </w:r>
    </w:p>
    <w:p w:rsidR="00B01FA3" w:rsidRDefault="00B01FA3" w:rsidP="005973B9">
      <w:pPr>
        <w:pStyle w:val="BodyText"/>
        <w:spacing w:before="73" w:line="198" w:lineRule="exact"/>
        <w:ind w:left="100" w:right="5987"/>
        <w:rPr>
          <w:rFonts w:ascii="Arial"/>
        </w:rPr>
      </w:pPr>
    </w:p>
    <w:p w:rsidR="00AE3E37" w:rsidRPr="00B01FA3" w:rsidRDefault="001A4636" w:rsidP="00B01FA3">
      <w:pPr>
        <w:pStyle w:val="BodyText"/>
        <w:spacing w:before="73" w:line="198" w:lineRule="exact"/>
        <w:ind w:left="100" w:right="5987"/>
        <w:rPr>
          <w:rFonts w:ascii="Arial"/>
        </w:rPr>
      </w:pPr>
      <w:proofErr w:type="spellStart"/>
      <w:r>
        <w:rPr>
          <w:rFonts w:ascii="Arial"/>
        </w:rPr>
        <w:t>Mar</w:t>
      </w:r>
      <w:r>
        <w:rPr>
          <w:rFonts w:ascii="Arial"/>
        </w:rPr>
        <w:t>í</w:t>
      </w:r>
      <w:r>
        <w:rPr>
          <w:rFonts w:ascii="Arial"/>
        </w:rPr>
        <w:t>a</w:t>
      </w:r>
      <w:proofErr w:type="spellEnd"/>
      <w:r>
        <w:rPr>
          <w:rFonts w:ascii="Arial"/>
        </w:rPr>
        <w:t xml:space="preserve"> Ramos Pay</w:t>
      </w:r>
      <w:r>
        <w:rPr>
          <w:rFonts w:ascii="Arial"/>
        </w:rPr>
        <w:t>á</w:t>
      </w:r>
      <w:r>
        <w:rPr>
          <w:rFonts w:ascii="Arial"/>
        </w:rPr>
        <w:t>n, University of Seville (Spain)</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
    <w:p w:rsidR="006F20B9" w:rsidRPr="006F20B9" w:rsidRDefault="006F20B9" w:rsidP="006F20B9">
      <w:pPr>
        <w:pStyle w:val="Heading3"/>
        <w:spacing w:before="74"/>
        <w:jc w:val="both"/>
        <w:rPr>
          <w:rFonts w:ascii="Tw Cen MT" w:eastAsia="Tw Cen MT" w:hAnsi="Tw Cen MT" w:cs="Tw Cen MT"/>
          <w:b w:val="0"/>
          <w:bCs w:val="0"/>
          <w:sz w:val="18"/>
          <w:szCs w:val="18"/>
        </w:rPr>
      </w:pPr>
      <w:r w:rsidRPr="006F20B9">
        <w:rPr>
          <w:rFonts w:ascii="Tw Cen MT" w:eastAsia="Tw Cen MT" w:hAnsi="Tw Cen MT" w:cs="Tw Cen MT"/>
          <w:b w:val="0"/>
          <w:bCs w:val="0"/>
          <w:sz w:val="18"/>
          <w:szCs w:val="18"/>
        </w:rPr>
        <w:t xml:space="preserve">The use of </w:t>
      </w:r>
      <w:proofErr w:type="spellStart"/>
      <w:r w:rsidRPr="006F20B9">
        <w:rPr>
          <w:rFonts w:ascii="Tw Cen MT" w:eastAsia="Tw Cen MT" w:hAnsi="Tw Cen MT" w:cs="Tw Cen MT"/>
          <w:b w:val="0"/>
          <w:bCs w:val="0"/>
          <w:sz w:val="18"/>
          <w:szCs w:val="18"/>
        </w:rPr>
        <w:t>electromembranes</w:t>
      </w:r>
      <w:proofErr w:type="spellEnd"/>
      <w:r w:rsidRPr="006F20B9">
        <w:rPr>
          <w:rFonts w:ascii="Tw Cen MT" w:eastAsia="Tw Cen MT" w:hAnsi="Tw Cen MT" w:cs="Tw Cen MT"/>
          <w:b w:val="0"/>
          <w:bCs w:val="0"/>
          <w:sz w:val="18"/>
          <w:szCs w:val="18"/>
        </w:rPr>
        <w:t xml:space="preserve"> as a procedure for the pre-treatment of samples has gained special interest in recent years. The extraction by </w:t>
      </w:r>
      <w:proofErr w:type="spellStart"/>
      <w:r w:rsidRPr="006F20B9">
        <w:rPr>
          <w:rFonts w:ascii="Tw Cen MT" w:eastAsia="Tw Cen MT" w:hAnsi="Tw Cen MT" w:cs="Tw Cen MT"/>
          <w:b w:val="0"/>
          <w:bCs w:val="0"/>
          <w:sz w:val="18"/>
          <w:szCs w:val="18"/>
        </w:rPr>
        <w:t>electromembranes</w:t>
      </w:r>
      <w:proofErr w:type="spellEnd"/>
      <w:r w:rsidRPr="006F20B9">
        <w:rPr>
          <w:rFonts w:ascii="Tw Cen MT" w:eastAsia="Tw Cen MT" w:hAnsi="Tw Cen MT" w:cs="Tw Cen MT"/>
          <w:b w:val="0"/>
          <w:bCs w:val="0"/>
          <w:sz w:val="18"/>
          <w:szCs w:val="18"/>
        </w:rPr>
        <w:t xml:space="preserve"> in three phases favors the migration of the analytes from a donor / sample phase (aqueous) to an acceptor phase (aqueous) through the supported liquid membrane, thanks to an electric field generated when a potential difference is applied between both phases.</w:t>
      </w:r>
    </w:p>
    <w:p w:rsidR="006F20B9" w:rsidRPr="006F20B9" w:rsidRDefault="006F20B9" w:rsidP="006F20B9">
      <w:pPr>
        <w:pStyle w:val="Heading3"/>
        <w:spacing w:before="74"/>
        <w:jc w:val="both"/>
        <w:rPr>
          <w:rFonts w:ascii="Tw Cen MT" w:eastAsia="Tw Cen MT" w:hAnsi="Tw Cen MT" w:cs="Tw Cen MT"/>
          <w:b w:val="0"/>
          <w:bCs w:val="0"/>
          <w:sz w:val="18"/>
          <w:szCs w:val="18"/>
        </w:rPr>
      </w:pPr>
      <w:r w:rsidRPr="006F20B9">
        <w:rPr>
          <w:rFonts w:ascii="Tw Cen MT" w:eastAsia="Tw Cen MT" w:hAnsi="Tw Cen MT" w:cs="Tw Cen MT"/>
          <w:b w:val="0"/>
          <w:bCs w:val="0"/>
          <w:sz w:val="18"/>
          <w:szCs w:val="18"/>
        </w:rPr>
        <w:t xml:space="preserve">The extraction by means of </w:t>
      </w:r>
      <w:proofErr w:type="spellStart"/>
      <w:r w:rsidRPr="006F20B9">
        <w:rPr>
          <w:rFonts w:ascii="Tw Cen MT" w:eastAsia="Tw Cen MT" w:hAnsi="Tw Cen MT" w:cs="Tw Cen MT"/>
          <w:b w:val="0"/>
          <w:bCs w:val="0"/>
          <w:sz w:val="18"/>
          <w:szCs w:val="18"/>
        </w:rPr>
        <w:t>electromembranes</w:t>
      </w:r>
      <w:proofErr w:type="spellEnd"/>
      <w:r w:rsidRPr="006F20B9">
        <w:rPr>
          <w:rFonts w:ascii="Tw Cen MT" w:eastAsia="Tw Cen MT" w:hAnsi="Tw Cen MT" w:cs="Tw Cen MT"/>
          <w:b w:val="0"/>
          <w:bCs w:val="0"/>
          <w:sz w:val="18"/>
          <w:szCs w:val="18"/>
        </w:rPr>
        <w:t xml:space="preserve"> is applied using systems of different geometries. The factors that affect the </w:t>
      </w:r>
      <w:proofErr w:type="spellStart"/>
      <w:r w:rsidRPr="006F20B9">
        <w:rPr>
          <w:rFonts w:ascii="Tw Cen MT" w:eastAsia="Tw Cen MT" w:hAnsi="Tw Cen MT" w:cs="Tw Cen MT"/>
          <w:b w:val="0"/>
          <w:bCs w:val="0"/>
          <w:sz w:val="18"/>
          <w:szCs w:val="18"/>
        </w:rPr>
        <w:t>electromembrane</w:t>
      </w:r>
      <w:proofErr w:type="spellEnd"/>
      <w:r w:rsidRPr="006F20B9">
        <w:rPr>
          <w:rFonts w:ascii="Tw Cen MT" w:eastAsia="Tw Cen MT" w:hAnsi="Tw Cen MT" w:cs="Tw Cen MT"/>
          <w:b w:val="0"/>
          <w:bCs w:val="0"/>
          <w:sz w:val="18"/>
          <w:szCs w:val="18"/>
        </w:rPr>
        <w:t xml:space="preserve"> are the nature of the organic solvent, the composition and pH of the donor and acceptor phase, and the applied voltage. Depending on the type of geometry and the work mode, they may depend on other factors such as the speed of agitation, the flow of both the donor and acceptor phases, etc.</w:t>
      </w:r>
    </w:p>
    <w:p w:rsidR="006F20B9" w:rsidRPr="006F20B9" w:rsidRDefault="006F20B9" w:rsidP="006F20B9">
      <w:pPr>
        <w:pStyle w:val="Heading3"/>
        <w:spacing w:before="74"/>
        <w:jc w:val="both"/>
        <w:rPr>
          <w:rFonts w:ascii="Tw Cen MT" w:eastAsia="Tw Cen MT" w:hAnsi="Tw Cen MT" w:cs="Tw Cen MT"/>
          <w:b w:val="0"/>
          <w:bCs w:val="0"/>
          <w:sz w:val="18"/>
          <w:szCs w:val="18"/>
        </w:rPr>
      </w:pPr>
      <w:r w:rsidRPr="006F20B9">
        <w:rPr>
          <w:rFonts w:ascii="Tw Cen MT" w:eastAsia="Tw Cen MT" w:hAnsi="Tw Cen MT" w:cs="Tw Cen MT"/>
          <w:b w:val="0"/>
          <w:bCs w:val="0"/>
          <w:sz w:val="18"/>
          <w:szCs w:val="18"/>
        </w:rPr>
        <w:t xml:space="preserve">Until now, the importance of the characteristics of the electrode has not been taken into account, nor has it been monitored for the stability and effectiveness of the same prior to its application in </w:t>
      </w:r>
      <w:proofErr w:type="spellStart"/>
      <w:r w:rsidRPr="006F20B9">
        <w:rPr>
          <w:rFonts w:ascii="Tw Cen MT" w:eastAsia="Tw Cen MT" w:hAnsi="Tw Cen MT" w:cs="Tw Cen MT"/>
          <w:b w:val="0"/>
          <w:bCs w:val="0"/>
          <w:sz w:val="18"/>
          <w:szCs w:val="18"/>
        </w:rPr>
        <w:t>electromembrane</w:t>
      </w:r>
      <w:proofErr w:type="spellEnd"/>
      <w:r w:rsidRPr="006F20B9">
        <w:rPr>
          <w:rFonts w:ascii="Tw Cen MT" w:eastAsia="Tw Cen MT" w:hAnsi="Tw Cen MT" w:cs="Tw Cen MT"/>
          <w:b w:val="0"/>
          <w:bCs w:val="0"/>
          <w:sz w:val="18"/>
          <w:szCs w:val="18"/>
        </w:rPr>
        <w:t xml:space="preserve">. Therefore, an electrode characterization procedure is prepared to study how it affects </w:t>
      </w:r>
      <w:proofErr w:type="spellStart"/>
      <w:r w:rsidRPr="006F20B9">
        <w:rPr>
          <w:rFonts w:ascii="Tw Cen MT" w:eastAsia="Tw Cen MT" w:hAnsi="Tw Cen MT" w:cs="Tw Cen MT"/>
          <w:b w:val="0"/>
          <w:bCs w:val="0"/>
          <w:sz w:val="18"/>
          <w:szCs w:val="18"/>
        </w:rPr>
        <w:t>electromembrane</w:t>
      </w:r>
      <w:proofErr w:type="spellEnd"/>
      <w:r w:rsidRPr="006F20B9">
        <w:rPr>
          <w:rFonts w:ascii="Tw Cen MT" w:eastAsia="Tw Cen MT" w:hAnsi="Tw Cen MT" w:cs="Tw Cen MT"/>
          <w:b w:val="0"/>
          <w:bCs w:val="0"/>
          <w:sz w:val="18"/>
          <w:szCs w:val="18"/>
        </w:rPr>
        <w:t xml:space="preserve"> procedures. The study is performed using microfluidic devices1 and using a platinum cylindrical electrode of 100 </w:t>
      </w:r>
      <w:proofErr w:type="spellStart"/>
      <w:r w:rsidRPr="006F20B9">
        <w:rPr>
          <w:rFonts w:ascii="Calibri" w:eastAsia="Tw Cen MT" w:hAnsi="Calibri" w:cs="Calibri"/>
          <w:b w:val="0"/>
          <w:bCs w:val="0"/>
          <w:sz w:val="18"/>
          <w:szCs w:val="18"/>
        </w:rPr>
        <w:t>μ</w:t>
      </w:r>
      <w:r w:rsidRPr="006F20B9">
        <w:rPr>
          <w:rFonts w:ascii="Tw Cen MT" w:eastAsia="Tw Cen MT" w:hAnsi="Tw Cen MT" w:cs="Tw Cen MT"/>
          <w:b w:val="0"/>
          <w:bCs w:val="0"/>
          <w:sz w:val="18"/>
          <w:szCs w:val="18"/>
        </w:rPr>
        <w:t>m</w:t>
      </w:r>
      <w:proofErr w:type="spellEnd"/>
      <w:r w:rsidRPr="006F20B9">
        <w:rPr>
          <w:rFonts w:ascii="Tw Cen MT" w:eastAsia="Tw Cen MT" w:hAnsi="Tw Cen MT" w:cs="Tw Cen MT"/>
          <w:b w:val="0"/>
          <w:bCs w:val="0"/>
          <w:sz w:val="18"/>
          <w:szCs w:val="18"/>
        </w:rPr>
        <w:t xml:space="preserve"> external diameter and 20 mm in length. The characterization of the electrode is made by cyclic voltammetry and an impedance study, using for both the </w:t>
      </w:r>
      <w:proofErr w:type="spellStart"/>
      <w:r w:rsidRPr="006F20B9">
        <w:rPr>
          <w:rFonts w:ascii="Tw Cen MT" w:eastAsia="Tw Cen MT" w:hAnsi="Tw Cen MT" w:cs="Tw Cen MT"/>
          <w:b w:val="0"/>
          <w:bCs w:val="0"/>
          <w:sz w:val="18"/>
          <w:szCs w:val="18"/>
        </w:rPr>
        <w:t>ferrio</w:t>
      </w:r>
      <w:proofErr w:type="spellEnd"/>
      <w:r w:rsidRPr="006F20B9">
        <w:rPr>
          <w:rFonts w:ascii="Tw Cen MT" w:eastAsia="Tw Cen MT" w:hAnsi="Tw Cen MT" w:cs="Tw Cen MT"/>
          <w:b w:val="0"/>
          <w:bCs w:val="0"/>
          <w:sz w:val="18"/>
          <w:szCs w:val="18"/>
        </w:rPr>
        <w:t xml:space="preserve"> / equimolar </w:t>
      </w:r>
      <w:proofErr w:type="spellStart"/>
      <w:r w:rsidRPr="006F20B9">
        <w:rPr>
          <w:rFonts w:ascii="Tw Cen MT" w:eastAsia="Tw Cen MT" w:hAnsi="Tw Cen MT" w:cs="Tw Cen MT"/>
          <w:b w:val="0"/>
          <w:bCs w:val="0"/>
          <w:sz w:val="18"/>
          <w:szCs w:val="18"/>
        </w:rPr>
        <w:t>ferrio</w:t>
      </w:r>
      <w:proofErr w:type="spellEnd"/>
      <w:r w:rsidRPr="006F20B9">
        <w:rPr>
          <w:rFonts w:ascii="Tw Cen MT" w:eastAsia="Tw Cen MT" w:hAnsi="Tw Cen MT" w:cs="Tw Cen MT"/>
          <w:b w:val="0"/>
          <w:bCs w:val="0"/>
          <w:sz w:val="18"/>
          <w:szCs w:val="18"/>
        </w:rPr>
        <w:t xml:space="preserve"> / </w:t>
      </w:r>
      <w:proofErr w:type="spellStart"/>
      <w:r w:rsidRPr="006F20B9">
        <w:rPr>
          <w:rFonts w:ascii="Tw Cen MT" w:eastAsia="Tw Cen MT" w:hAnsi="Tw Cen MT" w:cs="Tw Cen MT"/>
          <w:b w:val="0"/>
          <w:bCs w:val="0"/>
          <w:sz w:val="18"/>
          <w:szCs w:val="18"/>
        </w:rPr>
        <w:t>ferrocyanide</w:t>
      </w:r>
      <w:proofErr w:type="spellEnd"/>
      <w:r w:rsidRPr="006F20B9">
        <w:rPr>
          <w:rFonts w:ascii="Tw Cen MT" w:eastAsia="Tw Cen MT" w:hAnsi="Tw Cen MT" w:cs="Tw Cen MT"/>
          <w:b w:val="0"/>
          <w:bCs w:val="0"/>
          <w:sz w:val="18"/>
          <w:szCs w:val="18"/>
        </w:rPr>
        <w:t xml:space="preserve"> pair, and SEM </w:t>
      </w:r>
      <w:proofErr w:type="spellStart"/>
      <w:r w:rsidRPr="006F20B9">
        <w:rPr>
          <w:rFonts w:ascii="Tw Cen MT" w:eastAsia="Tw Cen MT" w:hAnsi="Tw Cen MT" w:cs="Tw Cen MT"/>
          <w:b w:val="0"/>
          <w:bCs w:val="0"/>
          <w:sz w:val="18"/>
          <w:szCs w:val="18"/>
        </w:rPr>
        <w:t>microoscopy</w:t>
      </w:r>
      <w:proofErr w:type="spellEnd"/>
      <w:r w:rsidRPr="006F20B9">
        <w:rPr>
          <w:rFonts w:ascii="Tw Cen MT" w:eastAsia="Tw Cen MT" w:hAnsi="Tw Cen MT" w:cs="Tw Cen MT"/>
          <w:b w:val="0"/>
          <w:bCs w:val="0"/>
          <w:sz w:val="18"/>
          <w:szCs w:val="18"/>
        </w:rPr>
        <w:t xml:space="preserve"> techniques on the electrode.</w:t>
      </w:r>
    </w:p>
    <w:p w:rsidR="00AE3E37" w:rsidRDefault="006F20B9" w:rsidP="006F20B9">
      <w:pPr>
        <w:pStyle w:val="Heading3"/>
        <w:spacing w:before="74"/>
        <w:jc w:val="both"/>
      </w:pPr>
      <w:r w:rsidRPr="006F20B9">
        <w:rPr>
          <w:rFonts w:ascii="Tw Cen MT" w:eastAsia="Tw Cen MT" w:hAnsi="Tw Cen MT" w:cs="Tw Cen MT"/>
          <w:b w:val="0"/>
          <w:bCs w:val="0"/>
          <w:sz w:val="18"/>
          <w:szCs w:val="18"/>
        </w:rPr>
        <w:t xml:space="preserve">In this paper we present the recoveries and extraction efficiencies obtained when the </w:t>
      </w:r>
      <w:proofErr w:type="spellStart"/>
      <w:r w:rsidRPr="006F20B9">
        <w:rPr>
          <w:rFonts w:ascii="Tw Cen MT" w:eastAsia="Tw Cen MT" w:hAnsi="Tw Cen MT" w:cs="Tw Cen MT"/>
          <w:b w:val="0"/>
          <w:bCs w:val="0"/>
          <w:sz w:val="18"/>
          <w:szCs w:val="18"/>
        </w:rPr>
        <w:t>electromembrane</w:t>
      </w:r>
      <w:proofErr w:type="spellEnd"/>
      <w:r w:rsidRPr="006F20B9">
        <w:rPr>
          <w:rFonts w:ascii="Tw Cen MT" w:eastAsia="Tw Cen MT" w:hAnsi="Tw Cen MT" w:cs="Tw Cen MT"/>
          <w:b w:val="0"/>
          <w:bCs w:val="0"/>
          <w:sz w:val="18"/>
          <w:szCs w:val="18"/>
        </w:rPr>
        <w:t xml:space="preserve"> is applied to a series of analytes using new, reused and reactivated electrodes. Reactivation of the electrode is achieved by using a 0.1M solution of KN</w:t>
      </w:r>
      <w:r>
        <w:rPr>
          <w:rFonts w:ascii="Tw Cen MT" w:eastAsia="Tw Cen MT" w:hAnsi="Tw Cen MT" w:cs="Tw Cen MT"/>
          <w:b w:val="0"/>
          <w:bCs w:val="0"/>
          <w:sz w:val="18"/>
          <w:szCs w:val="18"/>
        </w:rPr>
        <w:t>O</w:t>
      </w:r>
      <w:r>
        <w:rPr>
          <w:rFonts w:ascii="Tw Cen MT" w:eastAsia="Tw Cen MT" w:hAnsi="Tw Cen MT" w:cs="Tw Cen MT"/>
          <w:b w:val="0"/>
          <w:bCs w:val="0"/>
          <w:sz w:val="18"/>
          <w:szCs w:val="18"/>
          <w:vertAlign w:val="subscript"/>
        </w:rPr>
        <w:t>3</w:t>
      </w:r>
      <w:r>
        <w:rPr>
          <w:rFonts w:ascii="Tw Cen MT" w:eastAsia="Tw Cen MT" w:hAnsi="Tw Cen MT" w:cs="Tw Cen MT"/>
          <w:b w:val="0"/>
          <w:bCs w:val="0"/>
          <w:sz w:val="18"/>
          <w:szCs w:val="18"/>
        </w:rPr>
        <w:t>.</w:t>
      </w:r>
      <w:r w:rsidR="00A9710C">
        <w:rPr>
          <w:b w:val="0"/>
        </w:rPr>
        <w:br w:type="column"/>
      </w:r>
      <w:r w:rsidR="00A9710C">
        <w:rPr>
          <w:color w:val="BF5A14"/>
        </w:rPr>
        <w:t>Image</w:t>
      </w:r>
    </w:p>
    <w:p w:rsidR="00AE3E37" w:rsidRDefault="00013748">
      <w:pPr>
        <w:pStyle w:val="BodyText"/>
        <w:spacing w:before="2"/>
        <w:rPr>
          <w:rFonts w:ascii="Arial"/>
          <w:b/>
          <w:sz w:val="16"/>
        </w:rPr>
      </w:pPr>
      <w:r w:rsidRPr="00013748">
        <w:rPr>
          <w:rFonts w:ascii="Arial"/>
          <w:b/>
          <w:noProof/>
          <w:sz w:val="16"/>
        </w:rPr>
        <w:drawing>
          <wp:inline distT="0" distB="0" distL="0" distR="0">
            <wp:extent cx="3165475" cy="1124611"/>
            <wp:effectExtent l="0" t="0" r="0" b="0"/>
            <wp:docPr id="1" name="Picture 1" descr="F:\COPIA de trabajo_080118\PEN\Congresos\2018 Separation Alemania\Figura electrodo antes y despu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COPIA de trabajo_080118\PEN\Congresos\2018 Separation Alemania\Figura electrodo antes y despues.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1124611"/>
                    </a:xfrm>
                    <a:prstGeom prst="rect">
                      <a:avLst/>
                    </a:prstGeom>
                    <a:noFill/>
                    <a:ln>
                      <a:noFill/>
                    </a:ln>
                  </pic:spPr>
                </pic:pic>
              </a:graphicData>
            </a:graphic>
          </wp:inline>
        </w:drawing>
      </w:r>
    </w:p>
    <w:p w:rsidR="006F20B9" w:rsidRDefault="006F20B9" w:rsidP="006F20B9">
      <w:pPr>
        <w:spacing w:line="204" w:lineRule="exact"/>
        <w:rPr>
          <w:rFonts w:ascii="Arial"/>
          <w:b/>
          <w:color w:val="BF5A14"/>
          <w:sz w:val="20"/>
        </w:rPr>
      </w:pPr>
      <w:r>
        <w:rPr>
          <w:rFonts w:ascii="Arial"/>
          <w:b/>
          <w:color w:val="BF5A14"/>
          <w:sz w:val="20"/>
        </w:rPr>
        <w:br/>
        <w:t xml:space="preserve">Recent Publications </w:t>
      </w:r>
    </w:p>
    <w:p w:rsidR="004B7FD5" w:rsidRPr="004B7FD5" w:rsidRDefault="004B7FD5" w:rsidP="004B7FD5">
      <w:pPr>
        <w:pStyle w:val="ListParagraph"/>
        <w:ind w:firstLine="0"/>
        <w:rPr>
          <w:rFonts w:ascii="Arial" w:hAnsi="Arial" w:cs="Arial"/>
          <w:sz w:val="16"/>
          <w:szCs w:val="16"/>
        </w:rPr>
      </w:pPr>
      <w:r w:rsidRPr="00B01FA3">
        <w:rPr>
          <w:rFonts w:ascii="Arial" w:hAnsi="Arial" w:cs="Arial"/>
          <w:sz w:val="16"/>
          <w:szCs w:val="16"/>
        </w:rPr>
        <w:t>1.</w:t>
      </w:r>
      <w:r w:rsidRPr="00B01FA3">
        <w:rPr>
          <w:rFonts w:ascii="Arial" w:hAnsi="Arial" w:cs="Arial"/>
          <w:sz w:val="16"/>
          <w:szCs w:val="16"/>
        </w:rPr>
        <w:tab/>
        <w:t xml:space="preserve">Maria Ramos </w:t>
      </w:r>
      <w:proofErr w:type="spellStart"/>
      <w:r w:rsidRPr="00B01FA3">
        <w:rPr>
          <w:rFonts w:ascii="Arial" w:hAnsi="Arial" w:cs="Arial"/>
          <w:sz w:val="16"/>
          <w:szCs w:val="16"/>
        </w:rPr>
        <w:t>Payan</w:t>
      </w:r>
      <w:proofErr w:type="spellEnd"/>
      <w:r w:rsidRPr="00B01FA3">
        <w:rPr>
          <w:rFonts w:ascii="Arial" w:hAnsi="Arial" w:cs="Arial"/>
          <w:sz w:val="16"/>
          <w:szCs w:val="16"/>
        </w:rPr>
        <w:t xml:space="preserve">; Santiago </w:t>
      </w:r>
      <w:proofErr w:type="spellStart"/>
      <w:r w:rsidRPr="00B01FA3">
        <w:rPr>
          <w:rFonts w:ascii="Arial" w:hAnsi="Arial" w:cs="Arial"/>
          <w:sz w:val="16"/>
          <w:szCs w:val="16"/>
        </w:rPr>
        <w:t>Maspoch</w:t>
      </w:r>
      <w:proofErr w:type="spellEnd"/>
      <w:r w:rsidRPr="00B01FA3">
        <w:rPr>
          <w:rFonts w:ascii="Arial" w:hAnsi="Arial" w:cs="Arial"/>
          <w:sz w:val="16"/>
          <w:szCs w:val="16"/>
        </w:rPr>
        <w:t xml:space="preserve">; Andreu </w:t>
      </w:r>
      <w:proofErr w:type="spellStart"/>
      <w:r w:rsidRPr="00B01FA3">
        <w:rPr>
          <w:rFonts w:ascii="Arial" w:hAnsi="Arial" w:cs="Arial"/>
          <w:sz w:val="16"/>
          <w:szCs w:val="16"/>
        </w:rPr>
        <w:t>Llobera</w:t>
      </w:r>
      <w:proofErr w:type="spellEnd"/>
      <w:r w:rsidRPr="00B01FA3">
        <w:rPr>
          <w:rFonts w:ascii="Arial" w:hAnsi="Arial" w:cs="Arial"/>
          <w:sz w:val="16"/>
          <w:szCs w:val="16"/>
        </w:rPr>
        <w:t xml:space="preserve">. </w:t>
      </w:r>
      <w:r w:rsidRPr="004B7FD5">
        <w:rPr>
          <w:rFonts w:ascii="Arial" w:hAnsi="Arial" w:cs="Arial"/>
          <w:sz w:val="16"/>
          <w:szCs w:val="16"/>
        </w:rPr>
        <w:t>An effective microfluidic based liquid-phase microextraction device (</w:t>
      </w:r>
      <w:proofErr w:type="spellStart"/>
      <w:r w:rsidRPr="004B7FD5">
        <w:rPr>
          <w:rFonts w:ascii="Arial" w:hAnsi="Arial" w:cs="Arial"/>
          <w:sz w:val="16"/>
          <w:szCs w:val="16"/>
        </w:rPr>
        <w:t>μLPME</w:t>
      </w:r>
      <w:proofErr w:type="spellEnd"/>
      <w:r w:rsidRPr="004B7FD5">
        <w:rPr>
          <w:rFonts w:ascii="Arial" w:hAnsi="Arial" w:cs="Arial"/>
          <w:sz w:val="16"/>
          <w:szCs w:val="16"/>
        </w:rPr>
        <w:t xml:space="preserve">) for extraction of non-steroidal anti-inflammatory drugs from biological and environmental samples. </w:t>
      </w:r>
      <w:proofErr w:type="spellStart"/>
      <w:r w:rsidRPr="004B7FD5">
        <w:rPr>
          <w:rFonts w:ascii="Arial" w:hAnsi="Arial" w:cs="Arial"/>
          <w:sz w:val="16"/>
          <w:szCs w:val="16"/>
        </w:rPr>
        <w:t>Talanta</w:t>
      </w:r>
      <w:proofErr w:type="spellEnd"/>
      <w:r w:rsidRPr="004B7FD5">
        <w:rPr>
          <w:rFonts w:ascii="Arial" w:hAnsi="Arial" w:cs="Arial"/>
          <w:sz w:val="16"/>
          <w:szCs w:val="16"/>
        </w:rPr>
        <w:t xml:space="preserve"> 165, 496 - 501.</w:t>
      </w:r>
    </w:p>
    <w:p w:rsidR="004B7FD5" w:rsidRPr="004B7FD5" w:rsidRDefault="004B7FD5" w:rsidP="004B7FD5">
      <w:pPr>
        <w:pStyle w:val="ListParagraph"/>
        <w:ind w:firstLine="0"/>
        <w:rPr>
          <w:rFonts w:ascii="Arial" w:hAnsi="Arial" w:cs="Arial"/>
          <w:sz w:val="16"/>
          <w:szCs w:val="16"/>
        </w:rPr>
      </w:pPr>
      <w:r w:rsidRPr="00B01FA3">
        <w:rPr>
          <w:rFonts w:ascii="Arial" w:hAnsi="Arial" w:cs="Arial"/>
          <w:sz w:val="16"/>
          <w:szCs w:val="16"/>
        </w:rPr>
        <w:t>2.</w:t>
      </w:r>
      <w:r w:rsidRPr="00B01FA3">
        <w:rPr>
          <w:rFonts w:ascii="Arial" w:hAnsi="Arial" w:cs="Arial"/>
          <w:sz w:val="16"/>
          <w:szCs w:val="16"/>
        </w:rPr>
        <w:tab/>
        <w:t xml:space="preserve">Maria Ramos </w:t>
      </w:r>
      <w:proofErr w:type="spellStart"/>
      <w:r w:rsidRPr="00B01FA3">
        <w:rPr>
          <w:rFonts w:ascii="Arial" w:hAnsi="Arial" w:cs="Arial"/>
          <w:sz w:val="16"/>
          <w:szCs w:val="16"/>
        </w:rPr>
        <w:t>Payan</w:t>
      </w:r>
      <w:proofErr w:type="spellEnd"/>
      <w:r w:rsidRPr="00B01FA3">
        <w:rPr>
          <w:rFonts w:ascii="Arial" w:hAnsi="Arial" w:cs="Arial"/>
          <w:sz w:val="16"/>
          <w:szCs w:val="16"/>
        </w:rPr>
        <w:t xml:space="preserve">; Santiago </w:t>
      </w:r>
      <w:proofErr w:type="spellStart"/>
      <w:r w:rsidRPr="00B01FA3">
        <w:rPr>
          <w:rFonts w:ascii="Arial" w:hAnsi="Arial" w:cs="Arial"/>
          <w:sz w:val="16"/>
          <w:szCs w:val="16"/>
        </w:rPr>
        <w:t>Maspoch</w:t>
      </w:r>
      <w:proofErr w:type="spellEnd"/>
      <w:r w:rsidRPr="00B01FA3">
        <w:rPr>
          <w:rFonts w:ascii="Arial" w:hAnsi="Arial" w:cs="Arial"/>
          <w:sz w:val="16"/>
          <w:szCs w:val="16"/>
        </w:rPr>
        <w:t xml:space="preserve">; Andreu </w:t>
      </w:r>
      <w:proofErr w:type="spellStart"/>
      <w:r w:rsidRPr="00B01FA3">
        <w:rPr>
          <w:rFonts w:ascii="Arial" w:hAnsi="Arial" w:cs="Arial"/>
          <w:sz w:val="16"/>
          <w:szCs w:val="16"/>
        </w:rPr>
        <w:t>Llobera</w:t>
      </w:r>
      <w:proofErr w:type="spellEnd"/>
      <w:r w:rsidRPr="00B01FA3">
        <w:rPr>
          <w:rFonts w:ascii="Arial" w:hAnsi="Arial" w:cs="Arial"/>
          <w:sz w:val="16"/>
          <w:szCs w:val="16"/>
        </w:rPr>
        <w:t xml:space="preserve">. </w:t>
      </w:r>
      <w:r w:rsidRPr="004B7FD5">
        <w:rPr>
          <w:rFonts w:ascii="Arial" w:hAnsi="Arial" w:cs="Arial"/>
          <w:sz w:val="16"/>
          <w:szCs w:val="16"/>
        </w:rPr>
        <w:t xml:space="preserve">A simple and fast Double-Flow microfluidic device based liquid-phase microextraction (DF-µLPME) for the determination of parabens in water samples. </w:t>
      </w:r>
      <w:proofErr w:type="spellStart"/>
      <w:r w:rsidRPr="004B7FD5">
        <w:rPr>
          <w:rFonts w:ascii="Arial" w:hAnsi="Arial" w:cs="Arial"/>
          <w:sz w:val="16"/>
          <w:szCs w:val="16"/>
        </w:rPr>
        <w:t>Talanta</w:t>
      </w:r>
      <w:proofErr w:type="spellEnd"/>
      <w:r w:rsidRPr="004B7FD5">
        <w:rPr>
          <w:rFonts w:ascii="Arial" w:hAnsi="Arial" w:cs="Arial"/>
          <w:sz w:val="16"/>
          <w:szCs w:val="16"/>
        </w:rPr>
        <w:t xml:space="preserve"> 165, 496-501</w:t>
      </w:r>
    </w:p>
    <w:p w:rsidR="004B7FD5" w:rsidRPr="004B7FD5" w:rsidRDefault="004B7FD5" w:rsidP="004B7FD5">
      <w:pPr>
        <w:pStyle w:val="ListParagraph"/>
        <w:ind w:firstLine="0"/>
        <w:rPr>
          <w:rFonts w:ascii="Arial" w:hAnsi="Arial" w:cs="Arial"/>
          <w:sz w:val="16"/>
          <w:szCs w:val="16"/>
        </w:rPr>
      </w:pPr>
      <w:r w:rsidRPr="004B7FD5">
        <w:rPr>
          <w:rFonts w:ascii="Arial" w:hAnsi="Arial" w:cs="Arial"/>
          <w:sz w:val="16"/>
          <w:szCs w:val="16"/>
        </w:rPr>
        <w:t>3.</w:t>
      </w:r>
      <w:r w:rsidRPr="004B7FD5">
        <w:rPr>
          <w:rFonts w:ascii="Arial" w:hAnsi="Arial" w:cs="Arial"/>
          <w:sz w:val="16"/>
          <w:szCs w:val="16"/>
        </w:rPr>
        <w:tab/>
      </w:r>
      <w:proofErr w:type="spellStart"/>
      <w:r w:rsidRPr="004B7FD5">
        <w:rPr>
          <w:rFonts w:ascii="Arial" w:hAnsi="Arial" w:cs="Arial"/>
          <w:sz w:val="16"/>
          <w:szCs w:val="16"/>
        </w:rPr>
        <w:t>María</w:t>
      </w:r>
      <w:proofErr w:type="spellEnd"/>
      <w:r w:rsidRPr="004B7FD5">
        <w:rPr>
          <w:rFonts w:ascii="Arial" w:hAnsi="Arial" w:cs="Arial"/>
          <w:sz w:val="16"/>
          <w:szCs w:val="16"/>
        </w:rPr>
        <w:t xml:space="preserve"> Ramos Payán; Henrik Jensen; </w:t>
      </w:r>
      <w:proofErr w:type="spellStart"/>
      <w:r w:rsidRPr="004B7FD5">
        <w:rPr>
          <w:rFonts w:ascii="Arial" w:hAnsi="Arial" w:cs="Arial"/>
          <w:sz w:val="16"/>
          <w:szCs w:val="16"/>
        </w:rPr>
        <w:t>Nicolaj</w:t>
      </w:r>
      <w:proofErr w:type="spellEnd"/>
      <w:r w:rsidRPr="004B7FD5">
        <w:rPr>
          <w:rFonts w:ascii="Arial" w:hAnsi="Arial" w:cs="Arial"/>
          <w:sz w:val="16"/>
          <w:szCs w:val="16"/>
        </w:rPr>
        <w:t xml:space="preserve"> Petersen; Steen </w:t>
      </w:r>
      <w:proofErr w:type="spellStart"/>
      <w:r w:rsidRPr="004B7FD5">
        <w:rPr>
          <w:rFonts w:ascii="Arial" w:hAnsi="Arial" w:cs="Arial"/>
          <w:sz w:val="16"/>
          <w:szCs w:val="16"/>
        </w:rPr>
        <w:t>Honorée</w:t>
      </w:r>
      <w:proofErr w:type="spellEnd"/>
      <w:r w:rsidRPr="004B7FD5">
        <w:rPr>
          <w:rFonts w:ascii="Arial" w:hAnsi="Arial" w:cs="Arial"/>
          <w:sz w:val="16"/>
          <w:szCs w:val="16"/>
        </w:rPr>
        <w:t xml:space="preserve">; Sig Pedersen </w:t>
      </w:r>
      <w:proofErr w:type="spellStart"/>
      <w:r w:rsidRPr="004B7FD5">
        <w:rPr>
          <w:rFonts w:ascii="Arial" w:hAnsi="Arial" w:cs="Arial"/>
          <w:sz w:val="16"/>
          <w:szCs w:val="16"/>
        </w:rPr>
        <w:t>Bjeergard</w:t>
      </w:r>
      <w:proofErr w:type="spellEnd"/>
      <w:r w:rsidRPr="004B7FD5">
        <w:rPr>
          <w:rFonts w:ascii="Arial" w:hAnsi="Arial" w:cs="Arial"/>
          <w:sz w:val="16"/>
          <w:szCs w:val="16"/>
        </w:rPr>
        <w:t xml:space="preserve">. Liquid-phase Microextraction in a microfluidic-chip – high enrichment and sample clean-up from small volumes of biological </w:t>
      </w:r>
      <w:proofErr w:type="spellStart"/>
      <w:r w:rsidRPr="004B7FD5">
        <w:rPr>
          <w:rFonts w:ascii="Arial" w:hAnsi="Arial" w:cs="Arial"/>
          <w:sz w:val="16"/>
          <w:szCs w:val="16"/>
        </w:rPr>
        <w:t>fluids.Analytica</w:t>
      </w:r>
      <w:proofErr w:type="spellEnd"/>
      <w:r w:rsidRPr="004B7FD5">
        <w:rPr>
          <w:rFonts w:ascii="Arial" w:hAnsi="Arial" w:cs="Arial"/>
          <w:sz w:val="16"/>
          <w:szCs w:val="16"/>
        </w:rPr>
        <w:t xml:space="preserve"> </w:t>
      </w:r>
      <w:proofErr w:type="spellStart"/>
      <w:r w:rsidRPr="004B7FD5">
        <w:rPr>
          <w:rFonts w:ascii="Arial" w:hAnsi="Arial" w:cs="Arial"/>
          <w:sz w:val="16"/>
          <w:szCs w:val="16"/>
        </w:rPr>
        <w:t>Chimica</w:t>
      </w:r>
      <w:proofErr w:type="spellEnd"/>
      <w:r w:rsidRPr="004B7FD5">
        <w:rPr>
          <w:rFonts w:ascii="Arial" w:hAnsi="Arial" w:cs="Arial"/>
          <w:sz w:val="16"/>
          <w:szCs w:val="16"/>
        </w:rPr>
        <w:t xml:space="preserve"> </w:t>
      </w:r>
      <w:proofErr w:type="spellStart"/>
      <w:r w:rsidRPr="004B7FD5">
        <w:rPr>
          <w:rFonts w:ascii="Arial" w:hAnsi="Arial" w:cs="Arial"/>
          <w:sz w:val="16"/>
          <w:szCs w:val="16"/>
        </w:rPr>
        <w:t>Acta</w:t>
      </w:r>
      <w:proofErr w:type="spellEnd"/>
      <w:r w:rsidRPr="004B7FD5">
        <w:rPr>
          <w:rFonts w:ascii="Arial" w:hAnsi="Arial" w:cs="Arial"/>
          <w:sz w:val="16"/>
          <w:szCs w:val="16"/>
        </w:rPr>
        <w:t xml:space="preserve"> 735, 46  </w:t>
      </w:r>
    </w:p>
    <w:p w:rsidR="004B7FD5" w:rsidRPr="004B7FD5" w:rsidRDefault="004B7FD5" w:rsidP="004B7FD5">
      <w:pPr>
        <w:pStyle w:val="ListParagraph"/>
        <w:ind w:firstLine="0"/>
        <w:rPr>
          <w:rFonts w:ascii="Arial" w:hAnsi="Arial" w:cs="Arial"/>
          <w:sz w:val="16"/>
          <w:szCs w:val="16"/>
        </w:rPr>
      </w:pPr>
      <w:r w:rsidRPr="004B7FD5">
        <w:rPr>
          <w:rFonts w:ascii="Arial" w:hAnsi="Arial" w:cs="Arial"/>
          <w:sz w:val="16"/>
          <w:szCs w:val="16"/>
        </w:rPr>
        <w:t>4.</w:t>
      </w:r>
      <w:r w:rsidRPr="004B7FD5">
        <w:rPr>
          <w:rFonts w:ascii="Arial" w:hAnsi="Arial" w:cs="Arial"/>
          <w:sz w:val="16"/>
          <w:szCs w:val="16"/>
        </w:rPr>
        <w:tab/>
        <w:t xml:space="preserve">Bin Li; </w:t>
      </w:r>
      <w:proofErr w:type="spellStart"/>
      <w:r w:rsidRPr="004B7FD5">
        <w:rPr>
          <w:rFonts w:ascii="Arial" w:hAnsi="Arial" w:cs="Arial"/>
          <w:sz w:val="16"/>
          <w:szCs w:val="16"/>
        </w:rPr>
        <w:t>Nickolaj</w:t>
      </w:r>
      <w:proofErr w:type="spellEnd"/>
      <w:r w:rsidRPr="004B7FD5">
        <w:rPr>
          <w:rFonts w:ascii="Arial" w:hAnsi="Arial" w:cs="Arial"/>
          <w:sz w:val="16"/>
          <w:szCs w:val="16"/>
        </w:rPr>
        <w:t xml:space="preserve"> Petersen; </w:t>
      </w:r>
      <w:proofErr w:type="spellStart"/>
      <w:r w:rsidRPr="004B7FD5">
        <w:rPr>
          <w:rFonts w:ascii="Arial" w:hAnsi="Arial" w:cs="Arial"/>
          <w:sz w:val="16"/>
          <w:szCs w:val="16"/>
        </w:rPr>
        <w:t>María</w:t>
      </w:r>
      <w:proofErr w:type="spellEnd"/>
      <w:r w:rsidRPr="004B7FD5">
        <w:rPr>
          <w:rFonts w:ascii="Arial" w:hAnsi="Arial" w:cs="Arial"/>
          <w:sz w:val="16"/>
          <w:szCs w:val="16"/>
        </w:rPr>
        <w:t xml:space="preserve"> Ramos Payán; Steen </w:t>
      </w:r>
      <w:proofErr w:type="spellStart"/>
      <w:r w:rsidRPr="004B7FD5">
        <w:rPr>
          <w:rFonts w:ascii="Arial" w:hAnsi="Arial" w:cs="Arial"/>
          <w:sz w:val="16"/>
          <w:szCs w:val="16"/>
        </w:rPr>
        <w:t>Honorée</w:t>
      </w:r>
      <w:proofErr w:type="spellEnd"/>
      <w:r w:rsidRPr="004B7FD5">
        <w:rPr>
          <w:rFonts w:ascii="Arial" w:hAnsi="Arial" w:cs="Arial"/>
          <w:sz w:val="16"/>
          <w:szCs w:val="16"/>
        </w:rPr>
        <w:t xml:space="preserve">; </w:t>
      </w:r>
      <w:proofErr w:type="spellStart"/>
      <w:r w:rsidRPr="004B7FD5">
        <w:rPr>
          <w:rFonts w:ascii="Arial" w:hAnsi="Arial" w:cs="Arial"/>
          <w:sz w:val="16"/>
          <w:szCs w:val="16"/>
        </w:rPr>
        <w:t>Stig</w:t>
      </w:r>
      <w:proofErr w:type="spellEnd"/>
      <w:r w:rsidRPr="004B7FD5">
        <w:rPr>
          <w:rFonts w:ascii="Arial" w:hAnsi="Arial" w:cs="Arial"/>
          <w:sz w:val="16"/>
          <w:szCs w:val="16"/>
        </w:rPr>
        <w:t xml:space="preserve"> Pedersen </w:t>
      </w:r>
      <w:proofErr w:type="spellStart"/>
      <w:r w:rsidRPr="004B7FD5">
        <w:rPr>
          <w:rFonts w:ascii="Arial" w:hAnsi="Arial" w:cs="Arial"/>
          <w:sz w:val="16"/>
          <w:szCs w:val="16"/>
        </w:rPr>
        <w:t>Bjergaard</w:t>
      </w:r>
      <w:proofErr w:type="spellEnd"/>
      <w:r w:rsidRPr="004B7FD5">
        <w:rPr>
          <w:rFonts w:ascii="Arial" w:hAnsi="Arial" w:cs="Arial"/>
          <w:sz w:val="16"/>
          <w:szCs w:val="16"/>
        </w:rPr>
        <w:t xml:space="preserve">. Automated on-line clean-up and enrichment of opium alkaloids using a liquid-phase microextraction-chip directly coupled to high-performance liquid </w:t>
      </w:r>
      <w:proofErr w:type="spellStart"/>
      <w:r w:rsidRPr="004B7FD5">
        <w:rPr>
          <w:rFonts w:ascii="Arial" w:hAnsi="Arial" w:cs="Arial"/>
          <w:sz w:val="16"/>
          <w:szCs w:val="16"/>
        </w:rPr>
        <w:t>chromatography.Talanta</w:t>
      </w:r>
      <w:proofErr w:type="spellEnd"/>
      <w:r w:rsidRPr="004B7FD5">
        <w:rPr>
          <w:rFonts w:ascii="Arial" w:hAnsi="Arial" w:cs="Arial"/>
          <w:sz w:val="16"/>
          <w:szCs w:val="16"/>
        </w:rPr>
        <w:t xml:space="preserve"> 120, 224 - 229.</w:t>
      </w:r>
    </w:p>
    <w:p w:rsidR="004B7FD5" w:rsidRPr="004B7FD5" w:rsidRDefault="004B7FD5" w:rsidP="004B7FD5">
      <w:pPr>
        <w:pStyle w:val="ListParagraph"/>
        <w:ind w:firstLine="0"/>
        <w:rPr>
          <w:rFonts w:ascii="Arial" w:hAnsi="Arial" w:cs="Arial"/>
          <w:sz w:val="16"/>
          <w:szCs w:val="16"/>
        </w:rPr>
      </w:pPr>
      <w:r w:rsidRPr="004B7FD5">
        <w:rPr>
          <w:rFonts w:ascii="Arial" w:hAnsi="Arial" w:cs="Arial"/>
          <w:sz w:val="16"/>
          <w:szCs w:val="16"/>
        </w:rPr>
        <w:t>5.</w:t>
      </w:r>
      <w:r w:rsidRPr="004B7FD5">
        <w:rPr>
          <w:rFonts w:ascii="Arial" w:hAnsi="Arial" w:cs="Arial"/>
          <w:sz w:val="16"/>
          <w:szCs w:val="16"/>
        </w:rPr>
        <w:tab/>
      </w:r>
      <w:proofErr w:type="spellStart"/>
      <w:r w:rsidRPr="004B7FD5">
        <w:rPr>
          <w:rFonts w:ascii="Arial" w:hAnsi="Arial" w:cs="Arial"/>
          <w:sz w:val="16"/>
          <w:szCs w:val="16"/>
        </w:rPr>
        <w:t>María</w:t>
      </w:r>
      <w:proofErr w:type="spellEnd"/>
      <w:r w:rsidRPr="004B7FD5">
        <w:rPr>
          <w:rFonts w:ascii="Arial" w:hAnsi="Arial" w:cs="Arial"/>
          <w:sz w:val="16"/>
          <w:szCs w:val="16"/>
        </w:rPr>
        <w:t xml:space="preserve"> Ramos Payán; Bin Li; Henrik Jensen; </w:t>
      </w:r>
      <w:proofErr w:type="spellStart"/>
      <w:r w:rsidRPr="004B7FD5">
        <w:rPr>
          <w:rFonts w:ascii="Arial" w:hAnsi="Arial" w:cs="Arial"/>
          <w:sz w:val="16"/>
          <w:szCs w:val="16"/>
        </w:rPr>
        <w:t>Nickolaj</w:t>
      </w:r>
      <w:proofErr w:type="spellEnd"/>
      <w:r w:rsidRPr="004B7FD5">
        <w:rPr>
          <w:rFonts w:ascii="Arial" w:hAnsi="Arial" w:cs="Arial"/>
          <w:sz w:val="16"/>
          <w:szCs w:val="16"/>
        </w:rPr>
        <w:t xml:space="preserve"> Petersen; Steen </w:t>
      </w:r>
      <w:proofErr w:type="spellStart"/>
      <w:r w:rsidRPr="004B7FD5">
        <w:rPr>
          <w:rFonts w:ascii="Arial" w:hAnsi="Arial" w:cs="Arial"/>
          <w:sz w:val="16"/>
          <w:szCs w:val="16"/>
        </w:rPr>
        <w:t>Honoreé</w:t>
      </w:r>
      <w:proofErr w:type="spellEnd"/>
      <w:r w:rsidRPr="004B7FD5">
        <w:rPr>
          <w:rFonts w:ascii="Arial" w:hAnsi="Arial" w:cs="Arial"/>
          <w:sz w:val="16"/>
          <w:szCs w:val="16"/>
        </w:rPr>
        <w:t xml:space="preserve">; </w:t>
      </w:r>
      <w:proofErr w:type="spellStart"/>
      <w:r w:rsidRPr="004B7FD5">
        <w:rPr>
          <w:rFonts w:ascii="Arial" w:hAnsi="Arial" w:cs="Arial"/>
          <w:sz w:val="16"/>
          <w:szCs w:val="16"/>
        </w:rPr>
        <w:t>Stig</w:t>
      </w:r>
      <w:proofErr w:type="spellEnd"/>
      <w:r w:rsidRPr="004B7FD5">
        <w:rPr>
          <w:rFonts w:ascii="Arial" w:hAnsi="Arial" w:cs="Arial"/>
          <w:sz w:val="16"/>
          <w:szCs w:val="16"/>
        </w:rPr>
        <w:t xml:space="preserve"> Pedersen </w:t>
      </w:r>
      <w:proofErr w:type="spellStart"/>
      <w:r w:rsidRPr="004B7FD5">
        <w:rPr>
          <w:rFonts w:ascii="Arial" w:hAnsi="Arial" w:cs="Arial"/>
          <w:sz w:val="16"/>
          <w:szCs w:val="16"/>
        </w:rPr>
        <w:t>Bjergaard</w:t>
      </w:r>
      <w:proofErr w:type="spellEnd"/>
      <w:r w:rsidRPr="004B7FD5">
        <w:rPr>
          <w:rFonts w:ascii="Arial" w:hAnsi="Arial" w:cs="Arial"/>
          <w:sz w:val="16"/>
          <w:szCs w:val="16"/>
        </w:rPr>
        <w:t>. Nano-</w:t>
      </w:r>
      <w:proofErr w:type="spellStart"/>
      <w:r w:rsidRPr="004B7FD5">
        <w:rPr>
          <w:rFonts w:ascii="Arial" w:hAnsi="Arial" w:cs="Arial"/>
          <w:sz w:val="16"/>
          <w:szCs w:val="16"/>
        </w:rPr>
        <w:t>Electromembrane</w:t>
      </w:r>
      <w:proofErr w:type="spellEnd"/>
      <w:r w:rsidRPr="004B7FD5">
        <w:rPr>
          <w:rFonts w:ascii="Arial" w:hAnsi="Arial" w:cs="Arial"/>
          <w:sz w:val="16"/>
          <w:szCs w:val="16"/>
        </w:rPr>
        <w:t xml:space="preserve"> Extraction. </w:t>
      </w:r>
      <w:proofErr w:type="spellStart"/>
      <w:r w:rsidRPr="004B7FD5">
        <w:rPr>
          <w:rFonts w:ascii="Arial" w:hAnsi="Arial" w:cs="Arial"/>
          <w:sz w:val="16"/>
          <w:szCs w:val="16"/>
        </w:rPr>
        <w:t>Analytica</w:t>
      </w:r>
      <w:proofErr w:type="spellEnd"/>
      <w:r w:rsidRPr="004B7FD5">
        <w:rPr>
          <w:rFonts w:ascii="Arial" w:hAnsi="Arial" w:cs="Arial"/>
          <w:sz w:val="16"/>
          <w:szCs w:val="16"/>
        </w:rPr>
        <w:t xml:space="preserve"> </w:t>
      </w:r>
      <w:proofErr w:type="spellStart"/>
      <w:r w:rsidRPr="004B7FD5">
        <w:rPr>
          <w:rFonts w:ascii="Arial" w:hAnsi="Arial" w:cs="Arial"/>
          <w:sz w:val="16"/>
          <w:szCs w:val="16"/>
        </w:rPr>
        <w:t>Chimica</w:t>
      </w:r>
      <w:proofErr w:type="spellEnd"/>
      <w:r w:rsidRPr="004B7FD5">
        <w:rPr>
          <w:rFonts w:ascii="Arial" w:hAnsi="Arial" w:cs="Arial"/>
          <w:sz w:val="16"/>
          <w:szCs w:val="16"/>
        </w:rPr>
        <w:t xml:space="preserve"> </w:t>
      </w:r>
      <w:proofErr w:type="spellStart"/>
      <w:r w:rsidRPr="004B7FD5">
        <w:rPr>
          <w:rFonts w:ascii="Arial" w:hAnsi="Arial" w:cs="Arial"/>
          <w:sz w:val="16"/>
          <w:szCs w:val="16"/>
        </w:rPr>
        <w:t>Acta</w:t>
      </w:r>
      <w:proofErr w:type="spellEnd"/>
      <w:r w:rsidRPr="004B7FD5">
        <w:rPr>
          <w:rFonts w:ascii="Arial" w:hAnsi="Arial" w:cs="Arial"/>
          <w:sz w:val="16"/>
          <w:szCs w:val="16"/>
        </w:rPr>
        <w:t xml:space="preserve"> 785, 60 - 66.</w:t>
      </w:r>
    </w:p>
    <w:p w:rsidR="004B7FD5" w:rsidRPr="003B0E74" w:rsidRDefault="004B7FD5" w:rsidP="004B7FD5">
      <w:pPr>
        <w:pStyle w:val="ListParagraph"/>
        <w:tabs>
          <w:tab w:val="left" w:pos="384"/>
        </w:tabs>
        <w:spacing w:line="216" w:lineRule="exact"/>
        <w:ind w:right="138" w:firstLine="0"/>
        <w:rPr>
          <w:rFonts w:ascii="Arial" w:hAnsi="Arial" w:cs="Arial"/>
          <w:sz w:val="16"/>
          <w:szCs w:val="16"/>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2F87F2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4B7FD5">
        <w:rPr>
          <w:noProof/>
        </w:rPr>
        <w:drawing>
          <wp:inline distT="0" distB="0" distL="0" distR="0" wp14:anchorId="057E9CAC" wp14:editId="654D359E">
            <wp:extent cx="630069" cy="417945"/>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30069" cy="417945"/>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6F20B9" w:rsidRPr="006F20B9" w:rsidRDefault="006F20B9" w:rsidP="006F20B9">
      <w:pPr>
        <w:jc w:val="both"/>
        <w:rPr>
          <w:rFonts w:ascii="Arial" w:hAnsi="Arial" w:cs="Arial"/>
          <w:sz w:val="14"/>
          <w:szCs w:val="14"/>
        </w:rPr>
      </w:pPr>
      <w:r w:rsidRPr="006F20B9">
        <w:rPr>
          <w:rFonts w:ascii="Arial" w:hAnsi="Arial" w:cs="Arial"/>
          <w:sz w:val="14"/>
          <w:szCs w:val="14"/>
        </w:rPr>
        <w:t xml:space="preserve">Dr. </w:t>
      </w:r>
      <w:proofErr w:type="spellStart"/>
      <w:r w:rsidRPr="006F20B9">
        <w:rPr>
          <w:rFonts w:ascii="Arial" w:hAnsi="Arial" w:cs="Arial"/>
          <w:sz w:val="14"/>
          <w:szCs w:val="14"/>
        </w:rPr>
        <w:t>María</w:t>
      </w:r>
      <w:proofErr w:type="spellEnd"/>
      <w:r w:rsidRPr="006F20B9">
        <w:rPr>
          <w:rFonts w:ascii="Arial" w:hAnsi="Arial" w:cs="Arial"/>
          <w:sz w:val="14"/>
          <w:szCs w:val="14"/>
        </w:rPr>
        <w:t xml:space="preserve"> Ramos Payán has completed her PhD from University of Seville, Spain and postdoctoral studies from University of Copenhagen (Denmark), University of North Carolina (USA) and Microelectronic National Center of Barcelona (Spain). She is leader of the microfluidic research line. She has published more than 30 papers in reputed journals and has been serving as an editorial board member of repute.</w:t>
      </w:r>
    </w:p>
    <w:p w:rsidR="006F20B9" w:rsidRPr="006F20B9" w:rsidRDefault="006F20B9" w:rsidP="006F20B9">
      <w:pPr>
        <w:jc w:val="both"/>
        <w:rPr>
          <w:rFonts w:ascii="Arial" w:hAnsi="Arial" w:cs="Arial"/>
          <w:sz w:val="14"/>
          <w:szCs w:val="14"/>
        </w:rPr>
      </w:pPr>
    </w:p>
    <w:p w:rsidR="006F20B9" w:rsidRPr="006F20B9" w:rsidRDefault="006F20B9" w:rsidP="006F20B9">
      <w:pPr>
        <w:jc w:val="both"/>
        <w:rPr>
          <w:rFonts w:ascii="Arial" w:hAnsi="Arial" w:cs="Arial"/>
          <w:b/>
          <w:sz w:val="14"/>
          <w:szCs w:val="14"/>
        </w:rPr>
      </w:pPr>
      <w:r w:rsidRPr="006F20B9">
        <w:rPr>
          <w:rFonts w:ascii="Arial" w:hAnsi="Arial" w:cs="Arial"/>
          <w:b/>
          <w:sz w:val="14"/>
          <w:szCs w:val="14"/>
        </w:rPr>
        <w:t>Acknowledgements</w:t>
      </w:r>
    </w:p>
    <w:p w:rsidR="006F20B9" w:rsidRPr="006F20B9" w:rsidRDefault="006F20B9" w:rsidP="006F20B9">
      <w:pPr>
        <w:jc w:val="both"/>
        <w:rPr>
          <w:rFonts w:ascii="Arial" w:hAnsi="Arial" w:cs="Arial"/>
          <w:color w:val="000000" w:themeColor="text1"/>
          <w:sz w:val="14"/>
          <w:szCs w:val="14"/>
          <w:shd w:val="clear" w:color="auto" w:fill="FFFFFF"/>
        </w:rPr>
      </w:pPr>
      <w:r w:rsidRPr="006F20B9">
        <w:rPr>
          <w:rStyle w:val="apple-converted-space"/>
          <w:rFonts w:ascii="Arial" w:hAnsi="Arial" w:cs="Arial"/>
          <w:color w:val="000000" w:themeColor="text1"/>
          <w:sz w:val="14"/>
          <w:szCs w:val="14"/>
          <w:shd w:val="clear" w:color="auto" w:fill="FFFFFF"/>
        </w:rPr>
        <w:t xml:space="preserve">This work was supported by the </w:t>
      </w:r>
      <w:r w:rsidRPr="006F20B9">
        <w:rPr>
          <w:rFonts w:ascii="Arial" w:hAnsi="Arial" w:cs="Arial"/>
          <w:color w:val="000000" w:themeColor="text1"/>
          <w:sz w:val="14"/>
          <w:szCs w:val="14"/>
          <w:shd w:val="clear" w:color="auto" w:fill="FFFFFF"/>
        </w:rPr>
        <w:t xml:space="preserve">Grant Juan de la </w:t>
      </w:r>
      <w:proofErr w:type="spellStart"/>
      <w:r w:rsidRPr="006F20B9">
        <w:rPr>
          <w:rFonts w:ascii="Arial" w:hAnsi="Arial" w:cs="Arial"/>
          <w:color w:val="000000" w:themeColor="text1"/>
          <w:sz w:val="14"/>
          <w:szCs w:val="14"/>
          <w:shd w:val="clear" w:color="auto" w:fill="FFFFFF"/>
        </w:rPr>
        <w:t>Cierva-Incorporación</w:t>
      </w:r>
      <w:proofErr w:type="spellEnd"/>
      <w:r w:rsidRPr="006F20B9">
        <w:rPr>
          <w:rFonts w:ascii="Arial" w:hAnsi="Arial" w:cs="Arial"/>
          <w:color w:val="000000" w:themeColor="text1"/>
          <w:sz w:val="14"/>
          <w:szCs w:val="14"/>
          <w:shd w:val="clear" w:color="auto" w:fill="FFFFFF"/>
        </w:rPr>
        <w:t xml:space="preserve"> (Ministry of Economy, industry and competitiveness), Grant number JCI-2015-26647. </w:t>
      </w:r>
    </w:p>
    <w:p w:rsidR="006F20B9" w:rsidRPr="00CF69CB" w:rsidRDefault="006F20B9" w:rsidP="006F20B9">
      <w:pPr>
        <w:jc w:val="both"/>
        <w:rPr>
          <w:b/>
        </w:rPr>
      </w:pPr>
    </w:p>
    <w:p w:rsidR="00AE3E37" w:rsidRDefault="00A9710C">
      <w:pPr>
        <w:spacing w:before="62"/>
        <w:ind w:left="4217" w:right="4235"/>
        <w:jc w:val="center"/>
        <w:rPr>
          <w:rFonts w:ascii="Arial"/>
          <w:sz w:val="14"/>
        </w:rPr>
      </w:pPr>
      <w:r>
        <w:rPr>
          <w:rFonts w:ascii="Arial"/>
          <w:sz w:val="14"/>
        </w:rPr>
        <w:t xml:space="preserve">Email: </w:t>
      </w:r>
      <w:r w:rsidR="000B1D62">
        <w:rPr>
          <w:rFonts w:ascii="Arial"/>
          <w:sz w:val="14"/>
        </w:rPr>
        <w:t>ramospayan@us.es</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4862E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7757" w:rsidRDefault="005E7757">
      <w:r>
        <w:separator/>
      </w:r>
    </w:p>
  </w:endnote>
  <w:endnote w:type="continuationSeparator" w:id="0">
    <w:p w:rsidR="005E7757" w:rsidRDefault="005E7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A00002AF" w:usb1="5000204B" w:usb2="00000000" w:usb3="00000000" w:csb0="000000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7757" w:rsidRDefault="005E7757">
      <w:r>
        <w:separator/>
      </w:r>
    </w:p>
  </w:footnote>
  <w:footnote w:type="continuationSeparator" w:id="0">
    <w:p w:rsidR="005E7757" w:rsidRDefault="005E77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3748"/>
    <w:rsid w:val="000B1D62"/>
    <w:rsid w:val="000E2911"/>
    <w:rsid w:val="000E7C73"/>
    <w:rsid w:val="001263DF"/>
    <w:rsid w:val="001A4636"/>
    <w:rsid w:val="00292ED9"/>
    <w:rsid w:val="00404E5B"/>
    <w:rsid w:val="00414F7B"/>
    <w:rsid w:val="00434DC1"/>
    <w:rsid w:val="004355DC"/>
    <w:rsid w:val="004749B4"/>
    <w:rsid w:val="00494130"/>
    <w:rsid w:val="004B7FD5"/>
    <w:rsid w:val="004F3523"/>
    <w:rsid w:val="005973B9"/>
    <w:rsid w:val="005B3A56"/>
    <w:rsid w:val="005E7757"/>
    <w:rsid w:val="006060CE"/>
    <w:rsid w:val="0063497F"/>
    <w:rsid w:val="006F20B9"/>
    <w:rsid w:val="00873DF0"/>
    <w:rsid w:val="008756E6"/>
    <w:rsid w:val="009B2D44"/>
    <w:rsid w:val="00A07E82"/>
    <w:rsid w:val="00A71F13"/>
    <w:rsid w:val="00A9710C"/>
    <w:rsid w:val="00AE3E37"/>
    <w:rsid w:val="00B01FA3"/>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A9C35CA-E96A-40A5-AFEA-3D462466C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1A4636"/>
    <w:pPr>
      <w:widowControl/>
      <w:spacing w:before="100" w:beforeAutospacing="1" w:after="100" w:afterAutospacing="1"/>
    </w:pPr>
    <w:rPr>
      <w:rFonts w:ascii="Times New Roman" w:eastAsiaTheme="minorEastAsia" w:hAnsi="Times New Roman" w:cs="Times New Roman"/>
      <w:sz w:val="24"/>
      <w:szCs w:val="24"/>
    </w:rPr>
  </w:style>
  <w:style w:type="character" w:customStyle="1" w:styleId="apple-converted-space">
    <w:name w:val="apple-converted-space"/>
    <w:basedOn w:val="DefaultParagraphFont"/>
    <w:rsid w:val="006F20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596</Words>
  <Characters>3400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UNC Support</cp:lastModifiedBy>
  <cp:revision>6</cp:revision>
  <dcterms:created xsi:type="dcterms:W3CDTF">2018-01-14T17:44:00Z</dcterms:created>
  <dcterms:modified xsi:type="dcterms:W3CDTF">2018-01-14T18:58:00Z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