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500" w:rsidRDefault="005E1500" w:rsidP="005E1500">
      <w:pPr>
        <w:pStyle w:val="Heading1"/>
        <w:spacing w:before="170"/>
        <w:ind w:left="0"/>
        <w:rPr>
          <w:color w:val="548DD4" w:themeColor="text2" w:themeTint="99"/>
        </w:rPr>
      </w:pPr>
      <w:r>
        <w:rPr>
          <w:color w:val="548DD4" w:themeColor="text2" w:themeTint="99"/>
        </w:rPr>
        <w:t xml:space="preserve">Microfluidic devices: </w:t>
      </w:r>
      <w:proofErr w:type="spellStart"/>
      <w:r>
        <w:rPr>
          <w:color w:val="548DD4" w:themeColor="text2" w:themeTint="99"/>
        </w:rPr>
        <w:t>Electromembrane</w:t>
      </w:r>
      <w:proofErr w:type="spellEnd"/>
      <w:r>
        <w:rPr>
          <w:color w:val="548DD4" w:themeColor="text2" w:themeTint="99"/>
        </w:rPr>
        <w:t xml:space="preserve"> extraction or liquid phase microextraction?</w:t>
      </w:r>
    </w:p>
    <w:p w:rsidR="007B734B" w:rsidRDefault="007B734B" w:rsidP="007B734B">
      <w:pPr>
        <w:pStyle w:val="BodyText"/>
        <w:spacing w:before="73" w:line="198" w:lineRule="exact"/>
        <w:ind w:left="100" w:right="5987"/>
        <w:rPr>
          <w:rFonts w:ascii="Arial"/>
        </w:rPr>
      </w:pPr>
      <w:proofErr w:type="spellStart"/>
      <w:r>
        <w:rPr>
          <w:rFonts w:ascii="Arial"/>
        </w:rPr>
        <w:t>Mar</w:t>
      </w:r>
      <w:r>
        <w:rPr>
          <w:rFonts w:ascii="Arial"/>
        </w:rPr>
        <w:t>í</w:t>
      </w:r>
      <w:r>
        <w:rPr>
          <w:rFonts w:ascii="Arial"/>
        </w:rPr>
        <w:t>a</w:t>
      </w:r>
      <w:proofErr w:type="spellEnd"/>
      <w:r>
        <w:rPr>
          <w:rFonts w:ascii="Arial"/>
        </w:rPr>
        <w:t xml:space="preserve"> Ramos Pay</w:t>
      </w:r>
      <w:r>
        <w:rPr>
          <w:rFonts w:ascii="Arial"/>
        </w:rPr>
        <w:t>á</w:t>
      </w:r>
      <w:r>
        <w:rPr>
          <w:rFonts w:ascii="Arial"/>
        </w:rPr>
        <w:t xml:space="preserve">n, </w:t>
      </w:r>
      <w:r>
        <w:rPr>
          <w:rFonts w:ascii="Arial"/>
        </w:rPr>
        <w:t xml:space="preserve">Dpt. of Analytical </w:t>
      </w:r>
      <w:r w:rsidR="00721100">
        <w:rPr>
          <w:rFonts w:ascii="Arial"/>
        </w:rPr>
        <w:t>Chemistry</w:t>
      </w:r>
      <w:bookmarkStart w:id="0" w:name="_GoBack"/>
      <w:bookmarkEnd w:id="0"/>
      <w:r>
        <w:rPr>
          <w:rFonts w:ascii="Arial"/>
        </w:rPr>
        <w:t xml:space="preserve">. </w:t>
      </w:r>
      <w:r>
        <w:rPr>
          <w:rFonts w:ascii="Arial"/>
        </w:rPr>
        <w:t>University of Seville (Spain)</w:t>
      </w:r>
    </w:p>
    <w:p w:rsidR="005E1500" w:rsidRPr="009F10DB" w:rsidRDefault="005E1500" w:rsidP="005E1500">
      <w:pPr>
        <w:pStyle w:val="Heading1"/>
        <w:spacing w:before="170"/>
        <w:ind w:left="0"/>
        <w:rPr>
          <w:color w:val="548DD4" w:themeColor="text2" w:themeTint="99"/>
        </w:rPr>
      </w:pPr>
    </w:p>
    <w:p w:rsidR="005E1500" w:rsidRDefault="005E1500" w:rsidP="005E1500">
      <w:pPr>
        <w:pStyle w:val="BodyText"/>
        <w:spacing w:before="73" w:line="198" w:lineRule="exact"/>
        <w:ind w:right="5987"/>
        <w:rPr>
          <w:rFonts w:ascii="Arial"/>
        </w:rPr>
      </w:pPr>
      <w:proofErr w:type="spellStart"/>
      <w:r>
        <w:rPr>
          <w:rFonts w:ascii="Arial"/>
        </w:rPr>
        <w:t>Mar</w:t>
      </w:r>
      <w:r>
        <w:rPr>
          <w:rFonts w:ascii="Arial"/>
        </w:rPr>
        <w:t>í</w:t>
      </w:r>
      <w:r>
        <w:rPr>
          <w:rFonts w:ascii="Arial"/>
        </w:rPr>
        <w:t>a</w:t>
      </w:r>
      <w:proofErr w:type="spellEnd"/>
      <w:r>
        <w:rPr>
          <w:rFonts w:ascii="Arial"/>
        </w:rPr>
        <w:t xml:space="preserve"> Ramos Pay</w:t>
      </w:r>
      <w:r>
        <w:rPr>
          <w:rFonts w:ascii="Arial"/>
        </w:rPr>
        <w:t>á</w:t>
      </w:r>
      <w:r>
        <w:rPr>
          <w:rFonts w:ascii="Arial"/>
        </w:rPr>
        <w:t xml:space="preserve">n, PhD, </w:t>
      </w:r>
      <w:r w:rsidRPr="005E1500">
        <w:rPr>
          <w:rFonts w:asciiTheme="minorHAnsi" w:hAnsiTheme="minorHAnsi"/>
          <w:sz w:val="20"/>
          <w:szCs w:val="20"/>
        </w:rPr>
        <w:t xml:space="preserve">Department of Analytical Chemistry, Faculty of Chemistry, University of </w:t>
      </w:r>
      <w:proofErr w:type="spellStart"/>
      <w:r w:rsidRPr="005E1500">
        <w:rPr>
          <w:rFonts w:asciiTheme="minorHAnsi" w:hAnsiTheme="minorHAnsi"/>
          <w:sz w:val="20"/>
          <w:szCs w:val="20"/>
        </w:rPr>
        <w:t>Sevilla</w:t>
      </w:r>
      <w:proofErr w:type="spellEnd"/>
      <w:r w:rsidRPr="005E1500">
        <w:rPr>
          <w:rFonts w:asciiTheme="minorHAnsi" w:hAnsiTheme="minorHAnsi"/>
          <w:sz w:val="20"/>
          <w:szCs w:val="20"/>
        </w:rPr>
        <w:t xml:space="preserve">, c/Prof. </w:t>
      </w:r>
      <w:proofErr w:type="spellStart"/>
      <w:r w:rsidRPr="005E1500">
        <w:rPr>
          <w:rFonts w:asciiTheme="minorHAnsi" w:hAnsiTheme="minorHAnsi"/>
          <w:sz w:val="20"/>
          <w:szCs w:val="20"/>
        </w:rPr>
        <w:t>García</w:t>
      </w:r>
      <w:proofErr w:type="spellEnd"/>
      <w:r w:rsidRPr="005E1500">
        <w:rPr>
          <w:rFonts w:asciiTheme="minorHAnsi" w:hAnsiTheme="minorHAnsi"/>
          <w:sz w:val="20"/>
          <w:szCs w:val="20"/>
        </w:rPr>
        <w:t xml:space="preserve"> González s/n, 41012, Seville, Spain</w:t>
      </w:r>
    </w:p>
    <w:p w:rsidR="005E1500" w:rsidRDefault="005E1500" w:rsidP="005973B9">
      <w:pPr>
        <w:pStyle w:val="BodyText"/>
        <w:spacing w:before="73" w:line="198" w:lineRule="exact"/>
        <w:ind w:left="100" w:right="5987"/>
        <w:rPr>
          <w:rFonts w:ascii="Minion Pro" w:eastAsia="Minion Pro" w:hAnsi="Minion Pro" w:cs="Minion Pro"/>
          <w:b/>
          <w:bCs/>
          <w:color w:val="337AB7"/>
          <w:sz w:val="20"/>
          <w:szCs w:val="20"/>
        </w:rPr>
      </w:pPr>
    </w:p>
    <w:p w:rsidR="005E1500" w:rsidRDefault="005E1500" w:rsidP="005973B9">
      <w:pPr>
        <w:pStyle w:val="BodyText"/>
        <w:spacing w:before="73" w:line="198" w:lineRule="exact"/>
        <w:ind w:left="100" w:right="5987"/>
        <w:rPr>
          <w:rFonts w:ascii="Minion Pro" w:eastAsia="Minion Pro" w:hAnsi="Minion Pro" w:cs="Minion Pro"/>
          <w:b/>
          <w:bCs/>
          <w:color w:val="337AB7"/>
          <w:sz w:val="20"/>
          <w:szCs w:val="20"/>
        </w:rPr>
      </w:pPr>
    </w:p>
    <w:p w:rsidR="005E1500" w:rsidRDefault="005E1500" w:rsidP="005973B9">
      <w:pPr>
        <w:pStyle w:val="BodyText"/>
        <w:spacing w:before="73" w:line="198" w:lineRule="exact"/>
        <w:ind w:left="100" w:right="5987"/>
        <w:rPr>
          <w:rFonts w:ascii="Minion Pro" w:eastAsia="Minion Pro" w:hAnsi="Minion Pro" w:cs="Minion Pro"/>
          <w:b/>
          <w:bCs/>
          <w:color w:val="337AB7"/>
          <w:sz w:val="20"/>
          <w:szCs w:val="20"/>
        </w:rPr>
      </w:pPr>
    </w:p>
    <w:p w:rsidR="001A4636" w:rsidRPr="001A4636" w:rsidRDefault="00125DA3" w:rsidP="005973B9">
      <w:pPr>
        <w:pStyle w:val="BodyText"/>
        <w:spacing w:before="73" w:line="198" w:lineRule="exact"/>
        <w:ind w:left="100" w:right="5987"/>
        <w:rPr>
          <w:rFonts w:ascii="Minion Pro" w:eastAsia="Minion Pro" w:hAnsi="Minion Pro" w:cs="Minion Pro"/>
          <w:b/>
          <w:bCs/>
          <w:color w:val="337AB7"/>
          <w:sz w:val="20"/>
          <w:szCs w:val="20"/>
        </w:rPr>
      </w:pPr>
      <w:r>
        <w:rPr>
          <w:rFonts w:ascii="Minion Pro" w:eastAsia="Minion Pro" w:hAnsi="Minion Pro" w:cs="Minion Pro"/>
          <w:b/>
          <w:bCs/>
          <w:color w:val="337AB7"/>
          <w:sz w:val="20"/>
          <w:szCs w:val="20"/>
        </w:rPr>
        <w:t>MICROFLUIDIC DEVICES: ELECTROMBRANE EXTRACTION OR LIQUID PHASE MICROEXTRACTION?</w:t>
      </w:r>
    </w:p>
    <w:p w:rsidR="005973B9" w:rsidRDefault="001A4636" w:rsidP="005973B9">
      <w:pPr>
        <w:pStyle w:val="BodyText"/>
        <w:spacing w:before="73" w:line="198" w:lineRule="exact"/>
        <w:ind w:left="100" w:right="5987"/>
        <w:rPr>
          <w:rFonts w:ascii="Arial"/>
        </w:rPr>
      </w:pPr>
      <w:proofErr w:type="spellStart"/>
      <w:r>
        <w:rPr>
          <w:rFonts w:ascii="Arial"/>
        </w:rPr>
        <w:t>Mar</w:t>
      </w:r>
      <w:r>
        <w:rPr>
          <w:rFonts w:ascii="Arial"/>
        </w:rPr>
        <w:t>í</w:t>
      </w:r>
      <w:r>
        <w:rPr>
          <w:rFonts w:ascii="Arial"/>
        </w:rPr>
        <w:t>a</w:t>
      </w:r>
      <w:proofErr w:type="spellEnd"/>
      <w:r>
        <w:rPr>
          <w:rFonts w:ascii="Arial"/>
        </w:rPr>
        <w:t xml:space="preserve"> Ramos Pay</w:t>
      </w:r>
      <w:r>
        <w:rPr>
          <w:rFonts w:ascii="Arial"/>
        </w:rPr>
        <w:t>á</w:t>
      </w:r>
      <w:r>
        <w:rPr>
          <w:rFonts w:ascii="Arial"/>
        </w:rPr>
        <w:t>n, University of Seville (Spain)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6F20B9" w:rsidRPr="00593732" w:rsidRDefault="007B734B" w:rsidP="006F20B9">
      <w:pPr>
        <w:pStyle w:val="Heading3"/>
        <w:spacing w:before="74"/>
        <w:jc w:val="both"/>
        <w:rPr>
          <w:rFonts w:ascii="Tw Cen MT" w:eastAsia="Tw Cen MT" w:hAnsi="Tw Cen MT" w:cs="Tw Cen MT"/>
          <w:b w:val="0"/>
          <w:bCs w:val="0"/>
          <w:sz w:val="18"/>
          <w:szCs w:val="18"/>
          <w:highlight w:val="yellow"/>
        </w:rPr>
      </w:pPr>
      <w:r>
        <w:rPr>
          <w:rFonts w:ascii="Tw Cen MT" w:eastAsia="Tw Cen MT" w:hAnsi="Tw Cen MT" w:cs="Tw Cen MT"/>
          <w:b w:val="0"/>
          <w:bCs w:val="0"/>
          <w:sz w:val="18"/>
          <w:szCs w:val="18"/>
        </w:rPr>
        <w:t xml:space="preserve">Sample treatment is the most important step previous real sample analysis. This procedures have been developed in order to improve the existing methodologies and offer new advantages. </w:t>
      </w:r>
      <w:r w:rsidRPr="007B734B">
        <w:rPr>
          <w:rFonts w:ascii="Tw Cen MT" w:eastAsia="Tw Cen MT" w:hAnsi="Tw Cen MT" w:cs="Tw Cen MT"/>
          <w:b w:val="0"/>
          <w:bCs w:val="0"/>
          <w:sz w:val="18"/>
          <w:szCs w:val="18"/>
        </w:rPr>
        <w:t xml:space="preserve">A step forward in this topic has been achieved with the miniaturized LE as Liquid phase microextraction (LPME), where the extraction of the analytes is controlled by passive diffusion [1] and as </w:t>
      </w:r>
      <w:proofErr w:type="spellStart"/>
      <w:r w:rsidRPr="007B734B">
        <w:rPr>
          <w:rFonts w:ascii="Tw Cen MT" w:eastAsia="Tw Cen MT" w:hAnsi="Tw Cen MT" w:cs="Tw Cen MT"/>
          <w:b w:val="0"/>
          <w:bCs w:val="0"/>
          <w:sz w:val="18"/>
          <w:szCs w:val="18"/>
        </w:rPr>
        <w:t>Electromembrane</w:t>
      </w:r>
      <w:proofErr w:type="spellEnd"/>
      <w:r w:rsidRPr="007B734B">
        <w:rPr>
          <w:rFonts w:ascii="Tw Cen MT" w:eastAsia="Tw Cen MT" w:hAnsi="Tw Cen MT" w:cs="Tw Cen MT"/>
          <w:b w:val="0"/>
          <w:bCs w:val="0"/>
          <w:sz w:val="18"/>
          <w:szCs w:val="18"/>
        </w:rPr>
        <w:t xml:space="preserve"> Extraction (EME) where the extraction procedure is controlled by an</w:t>
      </w:r>
      <w:r w:rsidR="00B07247">
        <w:rPr>
          <w:rFonts w:ascii="Tw Cen MT" w:eastAsia="Tw Cen MT" w:hAnsi="Tw Cen MT" w:cs="Tw Cen MT"/>
          <w:b w:val="0"/>
          <w:bCs w:val="0"/>
          <w:sz w:val="18"/>
          <w:szCs w:val="18"/>
        </w:rPr>
        <w:t xml:space="preserve"> electrical field force [2</w:t>
      </w:r>
      <w:r>
        <w:rPr>
          <w:rFonts w:ascii="Tw Cen MT" w:eastAsia="Tw Cen MT" w:hAnsi="Tw Cen MT" w:cs="Tw Cen MT"/>
          <w:b w:val="0"/>
          <w:bCs w:val="0"/>
          <w:sz w:val="18"/>
          <w:szCs w:val="18"/>
        </w:rPr>
        <w:t xml:space="preserve">]. </w:t>
      </w:r>
    </w:p>
    <w:p w:rsidR="003B27D2" w:rsidRPr="003B27D2" w:rsidRDefault="003B27D2" w:rsidP="006F20B9">
      <w:pPr>
        <w:pStyle w:val="Heading3"/>
        <w:spacing w:before="74"/>
        <w:jc w:val="both"/>
        <w:rPr>
          <w:rFonts w:ascii="Tw Cen MT" w:eastAsia="Tw Cen MT" w:hAnsi="Tw Cen MT" w:cs="Tw Cen MT"/>
          <w:b w:val="0"/>
          <w:bCs w:val="0"/>
          <w:sz w:val="18"/>
          <w:szCs w:val="18"/>
        </w:rPr>
      </w:pPr>
      <w:r w:rsidRPr="003B27D2">
        <w:rPr>
          <w:rFonts w:ascii="Tw Cen MT" w:eastAsia="Tw Cen MT" w:hAnsi="Tw Cen MT" w:cs="Tw Cen MT"/>
          <w:b w:val="0"/>
          <w:bCs w:val="0"/>
          <w:sz w:val="18"/>
          <w:szCs w:val="18"/>
        </w:rPr>
        <w:t xml:space="preserve">Both techniques have been optimized in microfluidic systems, however, compared to traditional LPME and EME, there are other parameters to take into account when miniaturized systems are used. Based on the literature, traditional EME seemed to offer higher extractions efficiencies than traditional LPME when both were carries out using the same set-up. </w:t>
      </w:r>
    </w:p>
    <w:p w:rsidR="007B734B" w:rsidRPr="003B27D2" w:rsidRDefault="003B27D2" w:rsidP="003B27D2">
      <w:pPr>
        <w:pStyle w:val="Heading3"/>
        <w:spacing w:before="74"/>
        <w:jc w:val="both"/>
        <w:rPr>
          <w:rFonts w:ascii="Tw Cen MT" w:eastAsia="Tw Cen MT" w:hAnsi="Tw Cen MT" w:cs="Tw Cen MT"/>
          <w:b w:val="0"/>
          <w:bCs w:val="0"/>
          <w:sz w:val="18"/>
          <w:szCs w:val="18"/>
        </w:rPr>
      </w:pPr>
      <w:r w:rsidRPr="003B27D2">
        <w:rPr>
          <w:rFonts w:ascii="Tw Cen MT" w:eastAsia="Tw Cen MT" w:hAnsi="Tw Cen MT" w:cs="Tw Cen MT"/>
          <w:b w:val="0"/>
          <w:bCs w:val="0"/>
          <w:sz w:val="18"/>
          <w:szCs w:val="18"/>
        </w:rPr>
        <w:t xml:space="preserve">When LPME and EME are miniaturized into microfluidic systems, the geometry and the depth of the channels are critical for the performance. Since any of those techniques use agitation during extraction, the depth of the channel must be carefully optimized in order to get better extraction efficiencies. EME procedures require the use of a </w:t>
      </w:r>
      <w:proofErr w:type="spellStart"/>
      <w:r w:rsidRPr="003B27D2">
        <w:rPr>
          <w:rFonts w:ascii="Tw Cen MT" w:eastAsia="Tw Cen MT" w:hAnsi="Tw Cen MT" w:cs="Tw Cen MT"/>
          <w:b w:val="0"/>
          <w:bCs w:val="0"/>
          <w:sz w:val="18"/>
          <w:szCs w:val="18"/>
        </w:rPr>
        <w:t>platinium</w:t>
      </w:r>
      <w:proofErr w:type="spellEnd"/>
      <w:r w:rsidRPr="003B27D2">
        <w:rPr>
          <w:rFonts w:ascii="Tw Cen MT" w:eastAsia="Tw Cen MT" w:hAnsi="Tw Cen MT" w:cs="Tw Cen MT"/>
          <w:b w:val="0"/>
          <w:bCs w:val="0"/>
          <w:sz w:val="18"/>
          <w:szCs w:val="18"/>
        </w:rPr>
        <w:t xml:space="preserve"> electrode in each channel so, </w:t>
      </w:r>
      <w:proofErr w:type="spellStart"/>
      <w:r w:rsidRPr="003B27D2">
        <w:rPr>
          <w:rFonts w:ascii="Tw Cen MT" w:eastAsia="Tw Cen MT" w:hAnsi="Tw Cen MT" w:cs="Tw Cen MT"/>
          <w:b w:val="0"/>
          <w:bCs w:val="0"/>
          <w:sz w:val="18"/>
          <w:szCs w:val="18"/>
        </w:rPr>
        <w:t>consequentely</w:t>
      </w:r>
      <w:proofErr w:type="spellEnd"/>
      <w:r w:rsidRPr="003B27D2">
        <w:rPr>
          <w:rFonts w:ascii="Tw Cen MT" w:eastAsia="Tw Cen MT" w:hAnsi="Tw Cen MT" w:cs="Tw Cen MT"/>
          <w:b w:val="0"/>
          <w:bCs w:val="0"/>
          <w:sz w:val="18"/>
          <w:szCs w:val="18"/>
        </w:rPr>
        <w:t xml:space="preserve">, the depth of the channel must be a bit deeper </w:t>
      </w:r>
      <w:r w:rsidR="00B07247" w:rsidRPr="003B27D2">
        <w:rPr>
          <w:rFonts w:ascii="Tw Cen MT" w:eastAsia="Tw Cen MT" w:hAnsi="Tw Cen MT" w:cs="Tw Cen MT"/>
          <w:b w:val="0"/>
          <w:bCs w:val="0"/>
          <w:sz w:val="18"/>
          <w:szCs w:val="18"/>
        </w:rPr>
        <w:t>than</w:t>
      </w:r>
      <w:r w:rsidRPr="003B27D2">
        <w:rPr>
          <w:rFonts w:ascii="Tw Cen MT" w:eastAsia="Tw Cen MT" w:hAnsi="Tw Cen MT" w:cs="Tw Cen MT"/>
          <w:b w:val="0"/>
          <w:bCs w:val="0"/>
          <w:sz w:val="18"/>
          <w:szCs w:val="18"/>
        </w:rPr>
        <w:t xml:space="preserve"> the </w:t>
      </w:r>
      <w:proofErr w:type="spellStart"/>
      <w:r w:rsidRPr="003B27D2">
        <w:rPr>
          <w:rFonts w:ascii="Tw Cen MT" w:eastAsia="Tw Cen MT" w:hAnsi="Tw Cen MT" w:cs="Tw Cen MT"/>
          <w:b w:val="0"/>
          <w:bCs w:val="0"/>
          <w:sz w:val="18"/>
          <w:szCs w:val="18"/>
        </w:rPr>
        <w:t>i.d</w:t>
      </w:r>
      <w:proofErr w:type="spellEnd"/>
      <w:r w:rsidRPr="003B27D2">
        <w:rPr>
          <w:rFonts w:ascii="Tw Cen MT" w:eastAsia="Tw Cen MT" w:hAnsi="Tw Cen MT" w:cs="Tw Cen MT"/>
          <w:b w:val="0"/>
          <w:bCs w:val="0"/>
          <w:sz w:val="18"/>
          <w:szCs w:val="18"/>
        </w:rPr>
        <w:t xml:space="preserve"> of the electrode. However, LPME channels can be much less deeper since it works under passive diffusion and the distance between the </w:t>
      </w:r>
      <w:proofErr w:type="spellStart"/>
      <w:r w:rsidRPr="003B27D2">
        <w:rPr>
          <w:rFonts w:ascii="Tw Cen MT" w:eastAsia="Tw Cen MT" w:hAnsi="Tw Cen MT" w:cs="Tw Cen MT"/>
          <w:b w:val="0"/>
          <w:bCs w:val="0"/>
          <w:sz w:val="18"/>
          <w:szCs w:val="18"/>
        </w:rPr>
        <w:t>analyte</w:t>
      </w:r>
      <w:proofErr w:type="spellEnd"/>
      <w:r w:rsidRPr="003B27D2">
        <w:rPr>
          <w:rFonts w:ascii="Tw Cen MT" w:eastAsia="Tw Cen MT" w:hAnsi="Tw Cen MT" w:cs="Tw Cen MT"/>
          <w:b w:val="0"/>
          <w:bCs w:val="0"/>
          <w:sz w:val="18"/>
          <w:szCs w:val="18"/>
        </w:rPr>
        <w:t xml:space="preserve"> of interest and the SLM decrease.</w:t>
      </w:r>
      <w:r w:rsidR="00B07247">
        <w:rPr>
          <w:rFonts w:ascii="Tw Cen MT" w:eastAsia="Tw Cen MT" w:hAnsi="Tw Cen MT" w:cs="Tw Cen MT"/>
          <w:b w:val="0"/>
          <w:bCs w:val="0"/>
          <w:sz w:val="18"/>
          <w:szCs w:val="18"/>
        </w:rPr>
        <w:t xml:space="preserve"> For this reason, in miniaturized systems, an exhaustive study of the channel size must be carried out since the extraction efficiencies are not always higher using EME than LPME, although the first one use an electrical field to accelerate the </w:t>
      </w:r>
      <w:proofErr w:type="spellStart"/>
      <w:r w:rsidR="00B07247">
        <w:rPr>
          <w:rFonts w:ascii="Tw Cen MT" w:eastAsia="Tw Cen MT" w:hAnsi="Tw Cen MT" w:cs="Tw Cen MT"/>
          <w:b w:val="0"/>
          <w:bCs w:val="0"/>
          <w:sz w:val="18"/>
          <w:szCs w:val="18"/>
        </w:rPr>
        <w:t>electromigration</w:t>
      </w:r>
      <w:proofErr w:type="spellEnd"/>
      <w:r w:rsidR="00B07247">
        <w:rPr>
          <w:rFonts w:ascii="Tw Cen MT" w:eastAsia="Tw Cen MT" w:hAnsi="Tw Cen MT" w:cs="Tw Cen MT"/>
          <w:b w:val="0"/>
          <w:bCs w:val="0"/>
          <w:sz w:val="18"/>
          <w:szCs w:val="18"/>
        </w:rPr>
        <w:t xml:space="preserve">. </w:t>
      </w:r>
      <w:r w:rsidRPr="003B27D2">
        <w:rPr>
          <w:rFonts w:ascii="Tw Cen MT" w:eastAsia="Tw Cen MT" w:hAnsi="Tw Cen MT" w:cs="Tw Cen MT"/>
          <w:b w:val="0"/>
          <w:bCs w:val="0"/>
          <w:sz w:val="18"/>
          <w:szCs w:val="18"/>
        </w:rPr>
        <w:t xml:space="preserve"> </w:t>
      </w:r>
    </w:p>
    <w:p w:rsidR="007B734B" w:rsidRPr="003B27D2" w:rsidRDefault="007B734B" w:rsidP="007B734B">
      <w:pPr>
        <w:pStyle w:val="Heading3"/>
        <w:ind w:left="102"/>
        <w:jc w:val="both"/>
        <w:rPr>
          <w:rFonts w:ascii="Tw Cen MT" w:eastAsia="Tw Cen MT" w:hAnsi="Tw Cen MT" w:cs="Tw Cen MT"/>
          <w:b w:val="0"/>
          <w:bCs w:val="0"/>
          <w:sz w:val="18"/>
          <w:szCs w:val="18"/>
        </w:rPr>
      </w:pPr>
    </w:p>
    <w:p w:rsidR="007B734B" w:rsidRPr="003B27D2" w:rsidRDefault="007B734B" w:rsidP="007B734B">
      <w:pPr>
        <w:pStyle w:val="Heading3"/>
        <w:ind w:left="102"/>
        <w:jc w:val="both"/>
        <w:rPr>
          <w:rFonts w:ascii="Tw Cen MT" w:eastAsia="Tw Cen MT" w:hAnsi="Tw Cen MT" w:cs="Tw Cen MT"/>
          <w:bCs w:val="0"/>
          <w:sz w:val="18"/>
          <w:szCs w:val="18"/>
        </w:rPr>
      </w:pPr>
      <w:r w:rsidRPr="003B27D2">
        <w:rPr>
          <w:rFonts w:ascii="Tw Cen MT" w:eastAsia="Tw Cen MT" w:hAnsi="Tw Cen MT" w:cs="Tw Cen MT"/>
          <w:bCs w:val="0"/>
          <w:sz w:val="18"/>
          <w:szCs w:val="18"/>
        </w:rPr>
        <w:t>References</w:t>
      </w:r>
    </w:p>
    <w:p w:rsidR="007B734B" w:rsidRPr="003B27D2" w:rsidRDefault="007B734B" w:rsidP="007B734B">
      <w:pPr>
        <w:pStyle w:val="Heading3"/>
        <w:ind w:left="102"/>
        <w:jc w:val="both"/>
        <w:rPr>
          <w:rFonts w:ascii="Tw Cen MT" w:eastAsia="Tw Cen MT" w:hAnsi="Tw Cen MT" w:cs="Tw Cen MT"/>
          <w:b w:val="0"/>
          <w:bCs w:val="0"/>
          <w:sz w:val="18"/>
          <w:szCs w:val="18"/>
        </w:rPr>
      </w:pPr>
    </w:p>
    <w:p w:rsidR="007B734B" w:rsidRPr="003B27D2" w:rsidRDefault="00B07247" w:rsidP="007B734B">
      <w:pPr>
        <w:pStyle w:val="Heading3"/>
        <w:ind w:left="102"/>
        <w:jc w:val="both"/>
        <w:rPr>
          <w:rFonts w:ascii="Tw Cen MT" w:eastAsia="Tw Cen MT" w:hAnsi="Tw Cen MT" w:cs="Tw Cen MT"/>
          <w:b w:val="0"/>
          <w:bCs w:val="0"/>
          <w:sz w:val="18"/>
          <w:szCs w:val="18"/>
        </w:rPr>
      </w:pPr>
      <w:r>
        <w:rPr>
          <w:rFonts w:ascii="Tw Cen MT" w:eastAsia="Tw Cen MT" w:hAnsi="Tw Cen MT" w:cs="Tw Cen MT"/>
          <w:b w:val="0"/>
          <w:bCs w:val="0"/>
          <w:sz w:val="18"/>
          <w:szCs w:val="18"/>
        </w:rPr>
        <w:t>[1</w:t>
      </w:r>
      <w:r w:rsidR="007B734B" w:rsidRPr="003B27D2">
        <w:rPr>
          <w:rFonts w:ascii="Tw Cen MT" w:eastAsia="Tw Cen MT" w:hAnsi="Tw Cen MT" w:cs="Tw Cen MT"/>
          <w:b w:val="0"/>
          <w:bCs w:val="0"/>
          <w:sz w:val="18"/>
          <w:szCs w:val="18"/>
        </w:rPr>
        <w:t xml:space="preserve">] G. </w:t>
      </w:r>
      <w:proofErr w:type="spellStart"/>
      <w:r w:rsidR="007B734B" w:rsidRPr="003B27D2">
        <w:rPr>
          <w:rFonts w:ascii="Tw Cen MT" w:eastAsia="Tw Cen MT" w:hAnsi="Tw Cen MT" w:cs="Tw Cen MT"/>
          <w:b w:val="0"/>
          <w:bCs w:val="0"/>
          <w:sz w:val="18"/>
          <w:szCs w:val="18"/>
        </w:rPr>
        <w:t>Helle</w:t>
      </w:r>
      <w:proofErr w:type="spellEnd"/>
      <w:r w:rsidR="007B734B" w:rsidRPr="003B27D2">
        <w:rPr>
          <w:rFonts w:ascii="Tw Cen MT" w:eastAsia="Tw Cen MT" w:hAnsi="Tw Cen MT" w:cs="Tw Cen MT"/>
          <w:b w:val="0"/>
          <w:bCs w:val="0"/>
          <w:sz w:val="18"/>
          <w:szCs w:val="18"/>
        </w:rPr>
        <w:t xml:space="preserve">, C. </w:t>
      </w:r>
      <w:proofErr w:type="spellStart"/>
      <w:r w:rsidR="007B734B" w:rsidRPr="003B27D2">
        <w:rPr>
          <w:rFonts w:ascii="Tw Cen MT" w:eastAsia="Tw Cen MT" w:hAnsi="Tw Cen MT" w:cs="Tw Cen MT"/>
          <w:b w:val="0"/>
          <w:bCs w:val="0"/>
          <w:sz w:val="18"/>
          <w:szCs w:val="18"/>
        </w:rPr>
        <w:t>Mariet</w:t>
      </w:r>
      <w:proofErr w:type="spellEnd"/>
      <w:r w:rsidR="007B734B" w:rsidRPr="003B27D2">
        <w:rPr>
          <w:rFonts w:ascii="Tw Cen MT" w:eastAsia="Tw Cen MT" w:hAnsi="Tw Cen MT" w:cs="Tw Cen MT"/>
          <w:b w:val="0"/>
          <w:bCs w:val="0"/>
          <w:sz w:val="18"/>
          <w:szCs w:val="18"/>
        </w:rPr>
        <w:t xml:space="preserve">, G. Cote, Micro  fluidic Tools for the Liquid-liquid extraction of radionuclides in analytical procedures, Procedia Chem. 7 (2012) 679-684. </w:t>
      </w:r>
    </w:p>
    <w:p w:rsidR="007B734B" w:rsidRPr="003B27D2" w:rsidRDefault="00B07247" w:rsidP="007B734B">
      <w:pPr>
        <w:pStyle w:val="Heading3"/>
        <w:ind w:left="102"/>
        <w:jc w:val="both"/>
        <w:rPr>
          <w:rFonts w:ascii="Tw Cen MT" w:eastAsia="Tw Cen MT" w:hAnsi="Tw Cen MT" w:cs="Tw Cen MT"/>
          <w:b w:val="0"/>
          <w:bCs w:val="0"/>
          <w:sz w:val="18"/>
          <w:szCs w:val="18"/>
        </w:rPr>
      </w:pPr>
      <w:r>
        <w:rPr>
          <w:rFonts w:ascii="Tw Cen MT" w:eastAsia="Tw Cen MT" w:hAnsi="Tw Cen MT" w:cs="Tw Cen MT"/>
          <w:b w:val="0"/>
          <w:bCs w:val="0"/>
          <w:sz w:val="18"/>
          <w:szCs w:val="18"/>
        </w:rPr>
        <w:t>[2</w:t>
      </w:r>
      <w:r w:rsidR="007B734B" w:rsidRPr="003B27D2">
        <w:rPr>
          <w:rFonts w:ascii="Tw Cen MT" w:eastAsia="Tw Cen MT" w:hAnsi="Tw Cen MT" w:cs="Tw Cen MT"/>
          <w:b w:val="0"/>
          <w:bCs w:val="0"/>
          <w:sz w:val="18"/>
          <w:szCs w:val="18"/>
        </w:rPr>
        <w:t xml:space="preserve">] M. </w:t>
      </w:r>
      <w:proofErr w:type="spellStart"/>
      <w:r w:rsidR="007B734B" w:rsidRPr="003B27D2">
        <w:rPr>
          <w:rFonts w:ascii="Tw Cen MT" w:eastAsia="Tw Cen MT" w:hAnsi="Tw Cen MT" w:cs="Tw Cen MT"/>
          <w:b w:val="0"/>
          <w:bCs w:val="0"/>
          <w:sz w:val="18"/>
          <w:szCs w:val="18"/>
        </w:rPr>
        <w:t>Rezazadeh</w:t>
      </w:r>
      <w:proofErr w:type="spellEnd"/>
      <w:r w:rsidR="007B734B" w:rsidRPr="003B27D2">
        <w:rPr>
          <w:rFonts w:ascii="Tw Cen MT" w:eastAsia="Tw Cen MT" w:hAnsi="Tw Cen MT" w:cs="Tw Cen MT"/>
          <w:b w:val="0"/>
          <w:bCs w:val="0"/>
          <w:sz w:val="18"/>
          <w:szCs w:val="18"/>
        </w:rPr>
        <w:t xml:space="preserve">, Y. </w:t>
      </w:r>
      <w:proofErr w:type="spellStart"/>
      <w:r w:rsidR="007B734B" w:rsidRPr="003B27D2">
        <w:rPr>
          <w:rFonts w:ascii="Tw Cen MT" w:eastAsia="Tw Cen MT" w:hAnsi="Tw Cen MT" w:cs="Tw Cen MT"/>
          <w:b w:val="0"/>
          <w:bCs w:val="0"/>
          <w:sz w:val="18"/>
          <w:szCs w:val="18"/>
        </w:rPr>
        <w:t>Yamini</w:t>
      </w:r>
      <w:proofErr w:type="spellEnd"/>
      <w:r w:rsidR="007B734B" w:rsidRPr="003B27D2">
        <w:rPr>
          <w:rFonts w:ascii="Tw Cen MT" w:eastAsia="Tw Cen MT" w:hAnsi="Tw Cen MT" w:cs="Tw Cen MT"/>
          <w:b w:val="0"/>
          <w:bCs w:val="0"/>
          <w:sz w:val="18"/>
          <w:szCs w:val="18"/>
        </w:rPr>
        <w:t xml:space="preserve">, S. </w:t>
      </w:r>
      <w:proofErr w:type="spellStart"/>
      <w:r w:rsidR="007B734B" w:rsidRPr="003B27D2">
        <w:rPr>
          <w:rFonts w:ascii="Tw Cen MT" w:eastAsia="Tw Cen MT" w:hAnsi="Tw Cen MT" w:cs="Tw Cen MT"/>
          <w:b w:val="0"/>
          <w:bCs w:val="0"/>
          <w:sz w:val="18"/>
          <w:szCs w:val="18"/>
        </w:rPr>
        <w:t>Seidi</w:t>
      </w:r>
      <w:proofErr w:type="spellEnd"/>
      <w:r w:rsidR="007B734B" w:rsidRPr="003B27D2">
        <w:rPr>
          <w:rFonts w:ascii="Tw Cen MT" w:eastAsia="Tw Cen MT" w:hAnsi="Tw Cen MT" w:cs="Tw Cen MT"/>
          <w:b w:val="0"/>
          <w:bCs w:val="0"/>
          <w:sz w:val="18"/>
          <w:szCs w:val="18"/>
        </w:rPr>
        <w:t xml:space="preserve">, B. </w:t>
      </w:r>
      <w:proofErr w:type="spellStart"/>
      <w:r w:rsidR="007B734B" w:rsidRPr="003B27D2">
        <w:rPr>
          <w:rFonts w:ascii="Tw Cen MT" w:eastAsia="Tw Cen MT" w:hAnsi="Tw Cen MT" w:cs="Tw Cen MT"/>
          <w:b w:val="0"/>
          <w:bCs w:val="0"/>
          <w:sz w:val="18"/>
          <w:szCs w:val="18"/>
        </w:rPr>
        <w:t>Ebrahimpour</w:t>
      </w:r>
      <w:proofErr w:type="spellEnd"/>
      <w:r w:rsidR="007B734B" w:rsidRPr="003B27D2">
        <w:rPr>
          <w:rFonts w:ascii="Tw Cen MT" w:eastAsia="Tw Cen MT" w:hAnsi="Tw Cen MT" w:cs="Tw Cen MT"/>
          <w:b w:val="0"/>
          <w:bCs w:val="0"/>
          <w:sz w:val="18"/>
          <w:szCs w:val="18"/>
        </w:rPr>
        <w:t xml:space="preserve">, </w:t>
      </w:r>
      <w:proofErr w:type="spellStart"/>
      <w:r w:rsidR="007B734B" w:rsidRPr="003B27D2">
        <w:rPr>
          <w:rFonts w:ascii="Tw Cen MT" w:eastAsia="Tw Cen MT" w:hAnsi="Tw Cen MT" w:cs="Tw Cen MT"/>
          <w:b w:val="0"/>
          <w:bCs w:val="0"/>
          <w:sz w:val="18"/>
          <w:szCs w:val="18"/>
        </w:rPr>
        <w:t>Electromembrane</w:t>
      </w:r>
      <w:proofErr w:type="spellEnd"/>
      <w:r w:rsidR="007B734B" w:rsidRPr="003B27D2">
        <w:rPr>
          <w:rFonts w:ascii="Tw Cen MT" w:eastAsia="Tw Cen MT" w:hAnsi="Tw Cen MT" w:cs="Tw Cen MT"/>
          <w:b w:val="0"/>
          <w:bCs w:val="0"/>
          <w:sz w:val="18"/>
          <w:szCs w:val="18"/>
        </w:rPr>
        <w:t xml:space="preserve"> surrounded solid phase microextraction: a novel approach for efficient extraction from complicated matrices, J. </w:t>
      </w:r>
      <w:proofErr w:type="spellStart"/>
      <w:r w:rsidR="007B734B" w:rsidRPr="003B27D2">
        <w:rPr>
          <w:rFonts w:ascii="Tw Cen MT" w:eastAsia="Tw Cen MT" w:hAnsi="Tw Cen MT" w:cs="Tw Cen MT"/>
          <w:b w:val="0"/>
          <w:bCs w:val="0"/>
          <w:sz w:val="18"/>
          <w:szCs w:val="18"/>
        </w:rPr>
        <w:t>Chromatogr</w:t>
      </w:r>
      <w:proofErr w:type="spellEnd"/>
      <w:r w:rsidR="007B734B" w:rsidRPr="003B27D2">
        <w:rPr>
          <w:rFonts w:ascii="Tw Cen MT" w:eastAsia="Tw Cen MT" w:hAnsi="Tw Cen MT" w:cs="Tw Cen MT"/>
          <w:b w:val="0"/>
          <w:bCs w:val="0"/>
          <w:sz w:val="18"/>
          <w:szCs w:val="18"/>
        </w:rPr>
        <w:t>. A 1280 (2013) 16-22.</w:t>
      </w:r>
    </w:p>
    <w:p w:rsidR="00AE3E37" w:rsidRPr="003B27D2" w:rsidRDefault="00A9710C" w:rsidP="007B734B">
      <w:pPr>
        <w:pStyle w:val="Heading3"/>
        <w:spacing w:before="74"/>
        <w:jc w:val="both"/>
      </w:pPr>
      <w:r w:rsidRPr="003B27D2">
        <w:rPr>
          <w:color w:val="BF5A14"/>
        </w:rPr>
        <w:t>Image</w:t>
      </w:r>
    </w:p>
    <w:p w:rsidR="00AE3E37" w:rsidRPr="003B27D2" w:rsidRDefault="00B94AD4">
      <w:pPr>
        <w:pStyle w:val="BodyText"/>
        <w:spacing w:before="2"/>
        <w:rPr>
          <w:rFonts w:ascii="Arial"/>
          <w:b/>
          <w:sz w:val="16"/>
        </w:rPr>
      </w:pPr>
      <w:r w:rsidRPr="003B27D2">
        <w:rPr>
          <w:rFonts w:ascii="Arial"/>
          <w:b/>
          <w:noProof/>
          <w:sz w:val="16"/>
        </w:rPr>
        <w:drawing>
          <wp:inline distT="0" distB="0" distL="0" distR="0">
            <wp:extent cx="3165475" cy="1068651"/>
            <wp:effectExtent l="0" t="0" r="0" b="0"/>
            <wp:docPr id="2" name="Picture 2" descr="F:\COPIA de trabajo_080118\PEN\Congresos\2018 Separation Alemania\Figura LPME y 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OPIA de trabajo_080118\PEN\Congresos\2018 Separation Alemania\Figura LPME y EM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068651"/>
                    </a:xfrm>
                    <a:prstGeom prst="rect">
                      <a:avLst/>
                    </a:prstGeom>
                    <a:noFill/>
                    <a:ln>
                      <a:noFill/>
                    </a:ln>
                  </pic:spPr>
                </pic:pic>
              </a:graphicData>
            </a:graphic>
          </wp:inline>
        </w:drawing>
      </w:r>
    </w:p>
    <w:p w:rsidR="006F20B9" w:rsidRPr="003B27D2" w:rsidRDefault="006F20B9" w:rsidP="006F20B9">
      <w:pPr>
        <w:spacing w:line="204" w:lineRule="exact"/>
        <w:rPr>
          <w:rFonts w:ascii="Arial"/>
          <w:b/>
          <w:color w:val="BF5A14"/>
          <w:sz w:val="20"/>
        </w:rPr>
      </w:pPr>
      <w:r w:rsidRPr="003B27D2">
        <w:rPr>
          <w:rFonts w:ascii="Arial"/>
          <w:b/>
          <w:color w:val="BF5A14"/>
          <w:sz w:val="20"/>
        </w:rPr>
        <w:br/>
        <w:t xml:space="preserve">Recent Publications </w:t>
      </w:r>
    </w:p>
    <w:p w:rsidR="00B94AD4" w:rsidRPr="003B27D2" w:rsidRDefault="00B94AD4" w:rsidP="00B94AD4">
      <w:pPr>
        <w:pStyle w:val="ListParagraph"/>
        <w:numPr>
          <w:ilvl w:val="0"/>
          <w:numId w:val="3"/>
        </w:numPr>
        <w:tabs>
          <w:tab w:val="left" w:pos="384"/>
        </w:tabs>
        <w:spacing w:line="216" w:lineRule="exact"/>
        <w:ind w:right="138"/>
        <w:rPr>
          <w:sz w:val="18"/>
        </w:rPr>
      </w:pPr>
      <w:r w:rsidRPr="003B27D2">
        <w:rPr>
          <w:sz w:val="18"/>
          <w:lang w:val="pt-PT"/>
        </w:rPr>
        <w:t xml:space="preserve">Maria Ramos Payan; Santiago Maspoch; Andreu Llobera. </w:t>
      </w:r>
      <w:r w:rsidRPr="003B27D2">
        <w:rPr>
          <w:sz w:val="18"/>
        </w:rPr>
        <w:t>An effective microfluidic based liquid-phase microextraction device (</w:t>
      </w:r>
      <w:proofErr w:type="spellStart"/>
      <w:r w:rsidRPr="003B27D2">
        <w:rPr>
          <w:sz w:val="18"/>
        </w:rPr>
        <w:t>μLPME</w:t>
      </w:r>
      <w:proofErr w:type="spellEnd"/>
      <w:r w:rsidRPr="003B27D2">
        <w:rPr>
          <w:sz w:val="18"/>
        </w:rPr>
        <w:t xml:space="preserve">) for extraction of non-steroidal anti-inflammatory drugs from biological and environmental samples. </w:t>
      </w:r>
      <w:proofErr w:type="spellStart"/>
      <w:r w:rsidRPr="003B27D2">
        <w:rPr>
          <w:sz w:val="18"/>
        </w:rPr>
        <w:t>Talanta</w:t>
      </w:r>
      <w:proofErr w:type="spellEnd"/>
      <w:r w:rsidRPr="003B27D2">
        <w:rPr>
          <w:sz w:val="18"/>
        </w:rPr>
        <w:t xml:space="preserve"> 165, 496 - 501.</w:t>
      </w:r>
    </w:p>
    <w:p w:rsidR="00B94AD4" w:rsidRPr="003B27D2" w:rsidRDefault="00B94AD4" w:rsidP="00B94AD4">
      <w:pPr>
        <w:pStyle w:val="ListParagraph"/>
        <w:numPr>
          <w:ilvl w:val="0"/>
          <w:numId w:val="3"/>
        </w:numPr>
        <w:tabs>
          <w:tab w:val="left" w:pos="384"/>
        </w:tabs>
        <w:spacing w:line="216" w:lineRule="exact"/>
        <w:ind w:right="138"/>
        <w:rPr>
          <w:sz w:val="18"/>
        </w:rPr>
      </w:pPr>
      <w:r w:rsidRPr="003B27D2">
        <w:rPr>
          <w:sz w:val="18"/>
          <w:lang w:val="pt-PT"/>
        </w:rPr>
        <w:t xml:space="preserve">Maria Ramos Payan; Santiago Maspoch; Andreu Llobera. </w:t>
      </w:r>
      <w:r w:rsidRPr="003B27D2">
        <w:rPr>
          <w:sz w:val="18"/>
        </w:rPr>
        <w:t xml:space="preserve">A simple and fast Double-Flow microfluidic device based liquid-phase microextraction (DF-µLPME) for the determination of parabens in water samples. </w:t>
      </w:r>
      <w:proofErr w:type="spellStart"/>
      <w:r w:rsidRPr="003B27D2">
        <w:rPr>
          <w:sz w:val="18"/>
        </w:rPr>
        <w:t>Talanta</w:t>
      </w:r>
      <w:proofErr w:type="spellEnd"/>
      <w:r w:rsidRPr="003B27D2">
        <w:rPr>
          <w:sz w:val="18"/>
        </w:rPr>
        <w:t xml:space="preserve"> 165, 496-501</w:t>
      </w:r>
    </w:p>
    <w:p w:rsidR="00B94AD4" w:rsidRDefault="00B94AD4" w:rsidP="00B94AD4">
      <w:pPr>
        <w:pStyle w:val="ListParagraph"/>
        <w:numPr>
          <w:ilvl w:val="0"/>
          <w:numId w:val="3"/>
        </w:numPr>
        <w:tabs>
          <w:tab w:val="left" w:pos="384"/>
        </w:tabs>
        <w:spacing w:line="216" w:lineRule="exact"/>
        <w:ind w:right="138"/>
      </w:pPr>
      <w:r w:rsidRPr="000869E4">
        <w:rPr>
          <w:sz w:val="18"/>
          <w:lang w:val="sv-SE"/>
        </w:rPr>
        <w:t xml:space="preserve">María Ramos Payán; Henrik Jensen; Nicolaj Petersen; Steen Honorée; Sig Pedersen Bjeergard. </w:t>
      </w:r>
      <w:r w:rsidRPr="00DD4B63">
        <w:rPr>
          <w:sz w:val="18"/>
        </w:rPr>
        <w:t>Liquid-phase</w:t>
      </w:r>
      <w:r>
        <w:rPr>
          <w:sz w:val="18"/>
        </w:rPr>
        <w:t xml:space="preserve"> </w:t>
      </w:r>
      <w:r w:rsidRPr="00DD4B63">
        <w:rPr>
          <w:sz w:val="18"/>
        </w:rPr>
        <w:t>Microextraction in a microfluidic-chip – high enrichment and sample clean-up from small volumes of biological</w:t>
      </w:r>
      <w:r>
        <w:rPr>
          <w:sz w:val="18"/>
        </w:rPr>
        <w:t xml:space="preserve"> </w:t>
      </w:r>
      <w:proofErr w:type="spellStart"/>
      <w:r w:rsidRPr="00DD4B63">
        <w:rPr>
          <w:sz w:val="18"/>
        </w:rPr>
        <w:t>fluids.Analytica</w:t>
      </w:r>
      <w:proofErr w:type="spellEnd"/>
      <w:r w:rsidRPr="00DD4B63">
        <w:rPr>
          <w:sz w:val="18"/>
        </w:rPr>
        <w:t xml:space="preserve"> </w:t>
      </w:r>
      <w:proofErr w:type="spellStart"/>
      <w:r w:rsidRPr="00DD4B63">
        <w:rPr>
          <w:sz w:val="18"/>
        </w:rPr>
        <w:t>Chimica</w:t>
      </w:r>
      <w:proofErr w:type="spellEnd"/>
      <w:r w:rsidRPr="00DD4B63">
        <w:rPr>
          <w:sz w:val="18"/>
        </w:rPr>
        <w:t xml:space="preserve"> </w:t>
      </w:r>
      <w:proofErr w:type="spellStart"/>
      <w:r w:rsidRPr="00DD4B63">
        <w:rPr>
          <w:sz w:val="18"/>
        </w:rPr>
        <w:t>Acta</w:t>
      </w:r>
      <w:proofErr w:type="spellEnd"/>
      <w:r w:rsidRPr="00DD4B63">
        <w:rPr>
          <w:sz w:val="18"/>
        </w:rPr>
        <w:t xml:space="preserve"> </w:t>
      </w:r>
      <w:r>
        <w:rPr>
          <w:sz w:val="18"/>
        </w:rPr>
        <w:t xml:space="preserve">735, 46 </w:t>
      </w:r>
      <w:r w:rsidRPr="008756E6">
        <w:t xml:space="preserve"> </w:t>
      </w:r>
    </w:p>
    <w:p w:rsidR="00B94AD4" w:rsidRDefault="00B94AD4" w:rsidP="00B94AD4">
      <w:pPr>
        <w:pStyle w:val="ListParagraph"/>
        <w:numPr>
          <w:ilvl w:val="0"/>
          <w:numId w:val="3"/>
        </w:numPr>
        <w:tabs>
          <w:tab w:val="left" w:pos="384"/>
        </w:tabs>
        <w:spacing w:line="216" w:lineRule="exact"/>
        <w:ind w:right="138"/>
        <w:rPr>
          <w:sz w:val="18"/>
          <w:szCs w:val="18"/>
        </w:rPr>
      </w:pPr>
      <w:r w:rsidRPr="000869E4">
        <w:rPr>
          <w:sz w:val="18"/>
          <w:szCs w:val="18"/>
          <w:lang w:val="sv-SE"/>
        </w:rPr>
        <w:t xml:space="preserve">Bin Li; Nickolaj Petersen; María Ramos Payán; Steen Honorée; Stig Pedersen Bjergaard. </w:t>
      </w:r>
      <w:r w:rsidRPr="00DD4B63">
        <w:rPr>
          <w:sz w:val="18"/>
          <w:szCs w:val="18"/>
        </w:rPr>
        <w:t>Automated on-line</w:t>
      </w:r>
      <w:r>
        <w:rPr>
          <w:sz w:val="18"/>
          <w:szCs w:val="18"/>
        </w:rPr>
        <w:t xml:space="preserve"> </w:t>
      </w:r>
      <w:r w:rsidRPr="00DD4B63">
        <w:rPr>
          <w:sz w:val="18"/>
          <w:szCs w:val="18"/>
        </w:rPr>
        <w:t>clean-up and enrichment of opium alkaloids using a liquid-phase microextraction-chip directly coupled to</w:t>
      </w:r>
      <w:r>
        <w:rPr>
          <w:sz w:val="18"/>
          <w:szCs w:val="18"/>
        </w:rPr>
        <w:t xml:space="preserve"> </w:t>
      </w:r>
      <w:r w:rsidRPr="00DD4B63">
        <w:rPr>
          <w:sz w:val="18"/>
          <w:szCs w:val="18"/>
        </w:rPr>
        <w:t>high-performanc</w:t>
      </w:r>
      <w:r>
        <w:rPr>
          <w:sz w:val="18"/>
          <w:szCs w:val="18"/>
        </w:rPr>
        <w:t xml:space="preserve">e liquid </w:t>
      </w:r>
      <w:proofErr w:type="spellStart"/>
      <w:r>
        <w:rPr>
          <w:sz w:val="18"/>
          <w:szCs w:val="18"/>
        </w:rPr>
        <w:t>chromatography.Talanta</w:t>
      </w:r>
      <w:proofErr w:type="spellEnd"/>
      <w:r>
        <w:rPr>
          <w:sz w:val="18"/>
          <w:szCs w:val="18"/>
        </w:rPr>
        <w:t xml:space="preserve"> 120, </w:t>
      </w:r>
      <w:r w:rsidRPr="00DD4B63">
        <w:rPr>
          <w:sz w:val="18"/>
          <w:szCs w:val="18"/>
        </w:rPr>
        <w:t>224 - 229.</w:t>
      </w:r>
    </w:p>
    <w:p w:rsidR="00B94AD4" w:rsidRPr="00DD4B63" w:rsidRDefault="00B94AD4" w:rsidP="00B94AD4">
      <w:pPr>
        <w:pStyle w:val="ListParagraph"/>
        <w:numPr>
          <w:ilvl w:val="0"/>
          <w:numId w:val="3"/>
        </w:numPr>
        <w:tabs>
          <w:tab w:val="left" w:pos="384"/>
        </w:tabs>
        <w:spacing w:line="216" w:lineRule="exact"/>
        <w:ind w:right="138"/>
        <w:rPr>
          <w:sz w:val="18"/>
          <w:szCs w:val="18"/>
        </w:rPr>
      </w:pPr>
      <w:r w:rsidRPr="000869E4">
        <w:rPr>
          <w:sz w:val="18"/>
          <w:szCs w:val="18"/>
          <w:lang w:val="sv-SE"/>
        </w:rPr>
        <w:t xml:space="preserve">María Ramos Payán; Bin Li; Henrik Jensen; Nickolaj Petersen; Steen Honoreé; Stig Pedersen Bjergaard. </w:t>
      </w:r>
      <w:r w:rsidRPr="00DD4B63">
        <w:rPr>
          <w:sz w:val="18"/>
          <w:szCs w:val="18"/>
        </w:rPr>
        <w:t>Nano-</w:t>
      </w:r>
      <w:proofErr w:type="spellStart"/>
      <w:r w:rsidRPr="00DD4B63">
        <w:rPr>
          <w:sz w:val="18"/>
          <w:szCs w:val="18"/>
        </w:rPr>
        <w:t>Electromembrane</w:t>
      </w:r>
      <w:proofErr w:type="spellEnd"/>
      <w:r w:rsidRPr="00DD4B63">
        <w:rPr>
          <w:sz w:val="18"/>
          <w:szCs w:val="18"/>
        </w:rPr>
        <w:t xml:space="preserve"> Extract</w:t>
      </w:r>
      <w:r>
        <w:rPr>
          <w:sz w:val="18"/>
          <w:szCs w:val="18"/>
        </w:rPr>
        <w:t xml:space="preserve">ion. </w:t>
      </w:r>
      <w:proofErr w:type="spellStart"/>
      <w:r>
        <w:rPr>
          <w:sz w:val="18"/>
          <w:szCs w:val="18"/>
        </w:rPr>
        <w:t>Analytica</w:t>
      </w:r>
      <w:proofErr w:type="spellEnd"/>
      <w:r>
        <w:rPr>
          <w:sz w:val="18"/>
          <w:szCs w:val="18"/>
        </w:rPr>
        <w:t xml:space="preserve"> </w:t>
      </w:r>
      <w:proofErr w:type="spellStart"/>
      <w:r>
        <w:rPr>
          <w:sz w:val="18"/>
          <w:szCs w:val="18"/>
        </w:rPr>
        <w:t>Chimica</w:t>
      </w:r>
      <w:proofErr w:type="spellEnd"/>
      <w:r>
        <w:rPr>
          <w:sz w:val="18"/>
          <w:szCs w:val="18"/>
        </w:rPr>
        <w:t xml:space="preserve"> </w:t>
      </w:r>
      <w:proofErr w:type="spellStart"/>
      <w:r>
        <w:rPr>
          <w:sz w:val="18"/>
          <w:szCs w:val="18"/>
        </w:rPr>
        <w:t>Acta</w:t>
      </w:r>
      <w:proofErr w:type="spellEnd"/>
      <w:r>
        <w:rPr>
          <w:sz w:val="18"/>
          <w:szCs w:val="18"/>
        </w:rPr>
        <w:t xml:space="preserve"> 785, </w:t>
      </w:r>
      <w:r w:rsidRPr="00DD4B63">
        <w:rPr>
          <w:sz w:val="18"/>
          <w:szCs w:val="18"/>
        </w:rPr>
        <w:t>60 - 66.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C47E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94AD4">
        <w:rPr>
          <w:noProof/>
        </w:rPr>
        <w:drawing>
          <wp:inline distT="0" distB="0" distL="0" distR="0" wp14:anchorId="143A5969" wp14:editId="1D84C96B">
            <wp:extent cx="630069" cy="41794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41794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F20B9" w:rsidRPr="006F20B9" w:rsidRDefault="006F20B9" w:rsidP="006F20B9">
      <w:pPr>
        <w:jc w:val="both"/>
        <w:rPr>
          <w:rFonts w:ascii="Arial" w:hAnsi="Arial" w:cs="Arial"/>
          <w:sz w:val="14"/>
          <w:szCs w:val="14"/>
        </w:rPr>
      </w:pPr>
      <w:r w:rsidRPr="006F20B9">
        <w:rPr>
          <w:rFonts w:ascii="Arial" w:hAnsi="Arial" w:cs="Arial"/>
          <w:sz w:val="14"/>
          <w:szCs w:val="14"/>
        </w:rPr>
        <w:t xml:space="preserve">Dr. </w:t>
      </w:r>
      <w:proofErr w:type="spellStart"/>
      <w:r w:rsidRPr="006F20B9">
        <w:rPr>
          <w:rFonts w:ascii="Arial" w:hAnsi="Arial" w:cs="Arial"/>
          <w:sz w:val="14"/>
          <w:szCs w:val="14"/>
        </w:rPr>
        <w:t>María</w:t>
      </w:r>
      <w:proofErr w:type="spellEnd"/>
      <w:r w:rsidRPr="006F20B9">
        <w:rPr>
          <w:rFonts w:ascii="Arial" w:hAnsi="Arial" w:cs="Arial"/>
          <w:sz w:val="14"/>
          <w:szCs w:val="14"/>
        </w:rPr>
        <w:t xml:space="preserve"> Ramos Payán has completed her PhD from University of Seville, Spain and postdoctoral studies from University of Copenhagen (Denmark), University of North Carolina (USA) and Microelectronic National Center of Barcelona (Spain). She is leader of the microfluidic research line. She has published more than 30 papers in reputed journals and has been serving as an editorial board member of repute.</w:t>
      </w:r>
    </w:p>
    <w:p w:rsidR="006F20B9" w:rsidRPr="006F20B9" w:rsidRDefault="006F20B9" w:rsidP="006F20B9">
      <w:pPr>
        <w:jc w:val="both"/>
        <w:rPr>
          <w:rFonts w:ascii="Arial" w:hAnsi="Arial" w:cs="Arial"/>
          <w:sz w:val="14"/>
          <w:szCs w:val="14"/>
        </w:rPr>
      </w:pPr>
    </w:p>
    <w:p w:rsidR="006F20B9" w:rsidRPr="006F20B9" w:rsidRDefault="006F20B9" w:rsidP="006F20B9">
      <w:pPr>
        <w:jc w:val="both"/>
        <w:rPr>
          <w:rFonts w:ascii="Arial" w:hAnsi="Arial" w:cs="Arial"/>
          <w:b/>
          <w:sz w:val="14"/>
          <w:szCs w:val="14"/>
        </w:rPr>
      </w:pPr>
      <w:r w:rsidRPr="006F20B9">
        <w:rPr>
          <w:rFonts w:ascii="Arial" w:hAnsi="Arial" w:cs="Arial"/>
          <w:b/>
          <w:sz w:val="14"/>
          <w:szCs w:val="14"/>
        </w:rPr>
        <w:t>Acknowledgements</w:t>
      </w:r>
    </w:p>
    <w:p w:rsidR="006F20B9" w:rsidRPr="006F20B9" w:rsidRDefault="006F20B9" w:rsidP="006F20B9">
      <w:pPr>
        <w:jc w:val="both"/>
        <w:rPr>
          <w:rFonts w:ascii="Arial" w:hAnsi="Arial" w:cs="Arial"/>
          <w:color w:val="000000" w:themeColor="text1"/>
          <w:sz w:val="14"/>
          <w:szCs w:val="14"/>
          <w:shd w:val="clear" w:color="auto" w:fill="FFFFFF"/>
        </w:rPr>
      </w:pPr>
      <w:r w:rsidRPr="006F20B9">
        <w:rPr>
          <w:rStyle w:val="apple-converted-space"/>
          <w:rFonts w:ascii="Arial" w:hAnsi="Arial" w:cs="Arial"/>
          <w:color w:val="000000" w:themeColor="text1"/>
          <w:sz w:val="14"/>
          <w:szCs w:val="14"/>
          <w:shd w:val="clear" w:color="auto" w:fill="FFFFFF"/>
        </w:rPr>
        <w:t xml:space="preserve">This work was supported by the </w:t>
      </w:r>
      <w:r w:rsidRPr="006F20B9">
        <w:rPr>
          <w:rFonts w:ascii="Arial" w:hAnsi="Arial" w:cs="Arial"/>
          <w:color w:val="000000" w:themeColor="text1"/>
          <w:sz w:val="14"/>
          <w:szCs w:val="14"/>
          <w:shd w:val="clear" w:color="auto" w:fill="FFFFFF"/>
        </w:rPr>
        <w:t xml:space="preserve">Grant Juan de la </w:t>
      </w:r>
      <w:proofErr w:type="spellStart"/>
      <w:r w:rsidRPr="006F20B9">
        <w:rPr>
          <w:rFonts w:ascii="Arial" w:hAnsi="Arial" w:cs="Arial"/>
          <w:color w:val="000000" w:themeColor="text1"/>
          <w:sz w:val="14"/>
          <w:szCs w:val="14"/>
          <w:shd w:val="clear" w:color="auto" w:fill="FFFFFF"/>
        </w:rPr>
        <w:t>Cierva-Incorporación</w:t>
      </w:r>
      <w:proofErr w:type="spellEnd"/>
      <w:r w:rsidRPr="006F20B9">
        <w:rPr>
          <w:rFonts w:ascii="Arial" w:hAnsi="Arial" w:cs="Arial"/>
          <w:color w:val="000000" w:themeColor="text1"/>
          <w:sz w:val="14"/>
          <w:szCs w:val="14"/>
          <w:shd w:val="clear" w:color="auto" w:fill="FFFFFF"/>
        </w:rPr>
        <w:t xml:space="preserve"> (Ministry of Economy, industry and competitiveness), Grant number JCI-2015-26647. </w:t>
      </w:r>
    </w:p>
    <w:p w:rsidR="006F20B9" w:rsidRPr="00CF69CB" w:rsidRDefault="006F20B9" w:rsidP="006F20B9">
      <w:pPr>
        <w:jc w:val="both"/>
        <w:rPr>
          <w:b/>
        </w:rPr>
      </w:pPr>
    </w:p>
    <w:p w:rsidR="00AE3E37" w:rsidRDefault="00A9710C">
      <w:pPr>
        <w:spacing w:before="62"/>
        <w:ind w:left="4217" w:right="4235"/>
        <w:jc w:val="center"/>
        <w:rPr>
          <w:rFonts w:ascii="Arial"/>
          <w:sz w:val="14"/>
        </w:rPr>
      </w:pPr>
      <w:r>
        <w:rPr>
          <w:rFonts w:ascii="Arial"/>
          <w:sz w:val="14"/>
        </w:rPr>
        <w:t xml:space="preserve">Email: </w:t>
      </w:r>
      <w:r w:rsidR="000B1D62">
        <w:rPr>
          <w:rFonts w:ascii="Arial"/>
          <w:sz w:val="14"/>
        </w:rPr>
        <w:t>ramospayan@us.es</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62EE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971" w:rsidRDefault="00AC0971">
      <w:r>
        <w:separator/>
      </w:r>
    </w:p>
  </w:endnote>
  <w:endnote w:type="continuationSeparator" w:id="0">
    <w:p w:rsidR="00AC0971" w:rsidRDefault="00AC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971" w:rsidRDefault="00AC0971">
      <w:r>
        <w:separator/>
      </w:r>
    </w:p>
  </w:footnote>
  <w:footnote w:type="continuationSeparator" w:id="0">
    <w:p w:rsidR="00AC0971" w:rsidRDefault="00AC09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1D62"/>
    <w:rsid w:val="000E2911"/>
    <w:rsid w:val="00125DA3"/>
    <w:rsid w:val="001263DF"/>
    <w:rsid w:val="001A4636"/>
    <w:rsid w:val="00292ED9"/>
    <w:rsid w:val="00353FCF"/>
    <w:rsid w:val="003B27D2"/>
    <w:rsid w:val="00404E5B"/>
    <w:rsid w:val="00414F7B"/>
    <w:rsid w:val="00434DC1"/>
    <w:rsid w:val="004355DC"/>
    <w:rsid w:val="004749B4"/>
    <w:rsid w:val="00494130"/>
    <w:rsid w:val="004F3523"/>
    <w:rsid w:val="00593732"/>
    <w:rsid w:val="005973B9"/>
    <w:rsid w:val="005B3A56"/>
    <w:rsid w:val="005E1500"/>
    <w:rsid w:val="006060CE"/>
    <w:rsid w:val="0063497F"/>
    <w:rsid w:val="006F20B9"/>
    <w:rsid w:val="00721100"/>
    <w:rsid w:val="007B734B"/>
    <w:rsid w:val="00873DF0"/>
    <w:rsid w:val="008756E6"/>
    <w:rsid w:val="009B2D44"/>
    <w:rsid w:val="00A07E82"/>
    <w:rsid w:val="00A9710C"/>
    <w:rsid w:val="00AC0971"/>
    <w:rsid w:val="00AE3E37"/>
    <w:rsid w:val="00B07247"/>
    <w:rsid w:val="00B21A57"/>
    <w:rsid w:val="00B94AD4"/>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9C35CA-E96A-40A5-AFEA-3D462466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A4636"/>
    <w:pPr>
      <w:widowControl/>
      <w:spacing w:before="100" w:beforeAutospacing="1" w:after="100" w:afterAutospacing="1"/>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6F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UNC Support</cp:lastModifiedBy>
  <cp:revision>7</cp:revision>
  <dcterms:created xsi:type="dcterms:W3CDTF">2018-01-14T17:53:00Z</dcterms:created>
  <dcterms:modified xsi:type="dcterms:W3CDTF">2018-01-14T18:49:00Z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