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Pr>
          <w:rFonts w:ascii="Times New Roman" w:eastAsia="Times New Roman" w:hAnsi="Times New Roman" w:cs="Times New Roman"/>
          <w:noProof/>
          <w:sz w:val="25"/>
          <w:szCs w:val="25"/>
          <w:lang w:val="en-US"/>
        </w:rPr>
        <w:drawing>
          <wp:inline distT="0" distB="0" distL="0" distR="0" wp14:anchorId="03C4D3B9" wp14:editId="30FB23CB">
            <wp:extent cx="857250" cy="857250"/>
            <wp:effectExtent l="0" t="0" r="0" b="0"/>
            <wp:docPr id="1" name="Picture 1"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4A0988">
      <w:pPr>
        <w:pStyle w:val="Heading2"/>
        <w:rPr>
          <w:rFonts w:eastAsia="Times New Roman"/>
          <w:b/>
          <w:lang w:eastAsia="en-IN"/>
        </w:rPr>
      </w:pPr>
      <w:r w:rsidRPr="004A0988">
        <w:rPr>
          <w:rFonts w:eastAsia="Times New Roman"/>
          <w:b/>
          <w:lang w:eastAsia="en-IN"/>
        </w:rPr>
        <w:t>Title of the Abstract:</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r w:rsidR="008C5C5F">
        <w:rPr>
          <w:rFonts w:ascii="Times New Roman" w:eastAsia="Times New Roman" w:hAnsi="Times New Roman" w:cs="Times New Roman"/>
          <w:i/>
          <w:color w:val="0070C0"/>
          <w:sz w:val="25"/>
          <w:szCs w:val="25"/>
          <w:lang w:eastAsia="en-IN"/>
        </w:rPr>
        <w:t xml:space="preserve"> aymen alsuwailem</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r w:rsidR="008C5C5F">
        <w:rPr>
          <w:rFonts w:ascii="Times New Roman" w:eastAsia="Times New Roman" w:hAnsi="Times New Roman" w:cs="Times New Roman"/>
          <w:i/>
          <w:color w:val="0070C0"/>
          <w:sz w:val="25"/>
          <w:szCs w:val="25"/>
          <w:lang w:eastAsia="en-IN"/>
        </w:rPr>
        <w:t>Prince Sultan Cardiac Center</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8C5C5F">
        <w:rPr>
          <w:rFonts w:ascii="Times New Roman" w:eastAsia="Times New Roman" w:hAnsi="Times New Roman" w:cs="Times New Roman"/>
          <w:i/>
          <w:color w:val="0070C0"/>
          <w:sz w:val="25"/>
          <w:szCs w:val="25"/>
          <w:lang w:eastAsia="en-IN"/>
        </w:rPr>
        <w:t>King saud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8C5C5F">
        <w:rPr>
          <w:rFonts w:ascii="Times New Roman" w:eastAsia="Times New Roman" w:hAnsi="Times New Roman" w:cs="Times New Roman"/>
          <w:i/>
          <w:color w:val="0070C0"/>
          <w:sz w:val="25"/>
          <w:szCs w:val="25"/>
          <w:lang w:eastAsia="en-IN"/>
        </w:rPr>
        <w:t>Kingdom of Saidia Arabia</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8C5C5F" w:rsidRPr="008C5C5F" w:rsidRDefault="006829C9" w:rsidP="008C5C5F">
      <w:pPr>
        <w:widowControl w:val="0"/>
        <w:overflowPunct w:val="0"/>
        <w:autoSpaceDE w:val="0"/>
        <w:autoSpaceDN w:val="0"/>
        <w:adjustRightInd w:val="0"/>
        <w:spacing w:after="0" w:line="240" w:lineRule="auto"/>
        <w:ind w:left="1200" w:right="1320"/>
        <w:jc w:val="both"/>
        <w:rPr>
          <w:rFonts w:ascii="Times New Roman" w:eastAsia="Times New Roman" w:hAnsi="Times New Roman" w:cs="Times New Roman"/>
          <w:sz w:val="25"/>
          <w:szCs w:val="25"/>
          <w:lang w:eastAsia="en-IN"/>
        </w:rPr>
      </w:pPr>
      <w:r w:rsidRPr="008C5C5F">
        <w:rPr>
          <w:rFonts w:ascii="Times New Roman" w:eastAsia="Times New Roman" w:hAnsi="Times New Roman" w:cs="Times New Roman"/>
          <w:sz w:val="25"/>
          <w:szCs w:val="25"/>
          <w:lang w:eastAsia="en-IN"/>
        </w:rPr>
        <w:t>Abstract:</w:t>
      </w:r>
      <w:r w:rsidRPr="008C5C5F">
        <w:rPr>
          <w:rFonts w:ascii="Times New Roman" w:eastAsia="Times New Roman" w:hAnsi="Times New Roman" w:cs="Times New Roman"/>
          <w:sz w:val="25"/>
          <w:szCs w:val="25"/>
          <w:lang w:eastAsia="en-IN"/>
        </w:rPr>
        <w:br/>
      </w:r>
      <w:r w:rsidR="008C5C5F" w:rsidRPr="008C5C5F">
        <w:rPr>
          <w:rFonts w:ascii="Times New Roman" w:eastAsia="Times New Roman" w:hAnsi="Times New Roman" w:cs="Times New Roman"/>
          <w:sz w:val="25"/>
          <w:szCs w:val="25"/>
          <w:lang w:eastAsia="en-IN"/>
        </w:rPr>
        <w:t>stereoselective high-performance liquid chromatographic (HPLC) method was developed and validated to determine S-( )- and R-(+)-propranolol in rat serum. Enantio-meric resolution was achieved on cellulose tris(3,5-dimethylphenylcarbamate) immobilized onto spherical porous silica chiral stationary phase (CSP) known as Chiralpak IB. A simple analytical method was validated using a mobile phase consisted of n-hexane-ethanol-triethylamine (95:5:0.4%, v/v/v) at a flow rate of 0.6 mL min-1 and fluorescence detection set at excitation/emission wavelengths 290/375 nm. The calibration curves were linear over the range of 10–400 ng mL-1 (R = 0.999) for each enantiomer with a detection limit of 3 ng mL-1. The proposed method was vali-dated in compliance with ICH guidelines in terms of linearity, accuracy, precision, limits of detection and quantitation, and other aspects of analytical validation. Actual quantification could be made for propranolol isomers in serum obtained from rats that had been intraperitoneally (i.p.) administered a single dose of the drug. The proposed method established in this study is simple and sensitive enough to be adopted in the fields of clinical and forensic toxicology. Molecular modeling studies in-cluding energy minimization and docking studies were first performed to illustrate the mechanism by which the active enantiomer binds to the β-adrenergic receptor and second to find a suitable interpre-tation of how both enantiomers are interacting with cellulose tris(3,5-dimethylphenylcarbamate) CSP during the process of resolution. The latter interaction was demonstrated by calculating the binding affinities and interaction distances between propranolol enantiomers and chiral selector.</w:t>
      </w:r>
    </w:p>
    <w:p w:rsidR="00FC37DB" w:rsidRDefault="00FC37DB" w:rsidP="008C5C5F">
      <w:pPr>
        <w:pStyle w:val="Heading1"/>
        <w:jc w:val="both"/>
        <w:rPr>
          <w:rFonts w:ascii="Times New Roman" w:eastAsia="Times New Roman" w:hAnsi="Times New Roman" w:cs="Times New Roman"/>
          <w:color w:val="auto"/>
          <w:sz w:val="25"/>
          <w:szCs w:val="25"/>
          <w:lang w:eastAsia="en-IN"/>
        </w:rPr>
      </w:pPr>
    </w:p>
    <w:p w:rsidR="008C5C5F" w:rsidRDefault="008C5C5F" w:rsidP="008C5C5F">
      <w:pPr>
        <w:rPr>
          <w:lang w:eastAsia="en-IN"/>
        </w:rPr>
      </w:pPr>
    </w:p>
    <w:p w:rsidR="008C5C5F" w:rsidRPr="008C5C5F" w:rsidRDefault="008C5C5F" w:rsidP="008C5C5F">
      <w:pPr>
        <w:rPr>
          <w:lang w:eastAsia="en-IN"/>
        </w:rPr>
      </w:pP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lastRenderedPageBreak/>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Default="008C5C5F"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Prof Aymen Khalid AL-Suwailem</w:t>
      </w:r>
    </w:p>
    <w:p w:rsidR="008C5C5F" w:rsidRDefault="008C5C5F"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PhD pharmaceutical analytical chemistry</w:t>
      </w:r>
    </w:p>
    <w:p w:rsidR="008C5C5F" w:rsidRDefault="008C5C5F"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Prince Sultan Cardiac Center</w:t>
      </w:r>
    </w:p>
    <w:p w:rsidR="008C5C5F" w:rsidRDefault="008C5C5F"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Mobile 00966505209837</w:t>
      </w:r>
    </w:p>
    <w:p w:rsidR="008C5C5F" w:rsidRDefault="008C5C5F"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E-Mail   </w:t>
      </w:r>
      <w:hyperlink r:id="rId8" w:history="1">
        <w:r w:rsidRPr="009F41DF">
          <w:rPr>
            <w:rStyle w:val="Hyperlink"/>
            <w:rFonts w:ascii="Times New Roman" w:eastAsia="Times New Roman" w:hAnsi="Times New Roman" w:cs="Times New Roman"/>
            <w:sz w:val="25"/>
            <w:szCs w:val="25"/>
            <w:lang w:eastAsia="en-IN"/>
          </w:rPr>
          <w:t>Aymen_4120@hotmail.com</w:t>
        </w:r>
      </w:hyperlink>
    </w:p>
    <w:p w:rsidR="008C5C5F" w:rsidRDefault="008C5C5F"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P.O. Box 16561</w:t>
      </w:r>
    </w:p>
    <w:p w:rsidR="008C5C5F" w:rsidRPr="00FC37DB" w:rsidRDefault="008C5C5F"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Riyadh 11474</w:t>
      </w:r>
    </w:p>
    <w:p w:rsidR="006829C9" w:rsidRDefault="006829C9" w:rsidP="006829C9">
      <w:pPr>
        <w:spacing w:after="0" w:line="240" w:lineRule="auto"/>
        <w:jc w:val="both"/>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8C5C5F">
        <w:rPr>
          <w:rFonts w:asciiTheme="majorHAnsi" w:eastAsia="Times New Roman" w:hAnsiTheme="majorHAnsi" w:cstheme="majorBidi"/>
          <w:color w:val="AA610D" w:themeColor="accent1" w:themeShade="BF"/>
          <w:sz w:val="28"/>
          <w:szCs w:val="28"/>
          <w:lang w:eastAsia="en-IN"/>
        </w:rPr>
        <w:t xml:space="preserve">  </w:t>
      </w:r>
    </w:p>
    <w:p w:rsidR="008C5C5F" w:rsidRDefault="008C5C5F"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E91A65" w:rsidRDefault="00E91A65"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Pharmaceutical chemistry</w:t>
      </w:r>
    </w:p>
    <w:p w:rsidR="00E91A65" w:rsidRPr="00171EBD" w:rsidRDefault="00E91A65"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High performance liquid chromatography , capillary electrophoresis</w:t>
      </w:r>
    </w:p>
    <w:p w:rsidR="006829C9" w:rsidRPr="00171EBD" w:rsidRDefault="006829C9" w:rsidP="006829C9">
      <w:pPr>
        <w:spacing w:after="0" w:line="240" w:lineRule="auto"/>
        <w:jc w:val="both"/>
        <w:rPr>
          <w:sz w:val="28"/>
          <w:szCs w:val="28"/>
        </w:rPr>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8C5C5F" w:rsidRDefault="008C5C5F" w:rsidP="008C5C5F">
      <w:pPr>
        <w:widowControl w:val="0"/>
        <w:numPr>
          <w:ilvl w:val="0"/>
          <w:numId w:val="1"/>
        </w:numPr>
        <w:tabs>
          <w:tab w:val="clear" w:pos="720"/>
          <w:tab w:val="num" w:pos="260"/>
        </w:tabs>
        <w:overflowPunct w:val="0"/>
        <w:autoSpaceDE w:val="0"/>
        <w:autoSpaceDN w:val="0"/>
        <w:adjustRightInd w:val="0"/>
        <w:spacing w:after="0" w:line="260" w:lineRule="auto"/>
        <w:ind w:left="260" w:hanging="185"/>
        <w:jc w:val="both"/>
        <w:rPr>
          <w:rFonts w:ascii="Times New Roman" w:hAnsi="Times New Roman" w:cs="Times New Roman"/>
          <w:sz w:val="15"/>
          <w:szCs w:val="15"/>
        </w:rPr>
      </w:pPr>
      <w:r>
        <w:rPr>
          <w:rFonts w:ascii="Times New Roman" w:hAnsi="Times New Roman" w:cs="Times New Roman"/>
          <w:sz w:val="15"/>
          <w:szCs w:val="15"/>
        </w:rPr>
        <w:t>Silber B, Riegelman S. Stereospeci</w:t>
      </w:r>
      <w:r>
        <w:rPr>
          <w:rFonts w:ascii="Arial" w:hAnsi="Arial" w:cs="Arial"/>
          <w:sz w:val="15"/>
          <w:szCs w:val="15"/>
        </w:rPr>
        <w:t>fi</w:t>
      </w:r>
      <w:r>
        <w:rPr>
          <w:rFonts w:ascii="Times New Roman" w:hAnsi="Times New Roman" w:cs="Times New Roman"/>
          <w:sz w:val="15"/>
          <w:szCs w:val="15"/>
        </w:rPr>
        <w:t>c assay for ( )- and (+)- propranolol in human and dog plasma. J Pharmacol Exp Ther 1980;215:643</w:t>
      </w:r>
      <w:r>
        <w:rPr>
          <w:rFonts w:ascii="Arial" w:hAnsi="Arial" w:cs="Arial"/>
          <w:sz w:val="15"/>
          <w:szCs w:val="15"/>
        </w:rPr>
        <w:t>–</w:t>
      </w:r>
      <w:r>
        <w:rPr>
          <w:rFonts w:ascii="Times New Roman" w:hAnsi="Times New Roman" w:cs="Times New Roman"/>
          <w:sz w:val="15"/>
          <w:szCs w:val="15"/>
        </w:rPr>
        <w:t xml:space="preserve">648. </w:t>
      </w:r>
    </w:p>
    <w:p w:rsidR="008C5C5F" w:rsidRDefault="008C5C5F" w:rsidP="008C5C5F">
      <w:pPr>
        <w:widowControl w:val="0"/>
        <w:autoSpaceDE w:val="0"/>
        <w:autoSpaceDN w:val="0"/>
        <w:adjustRightInd w:val="0"/>
        <w:spacing w:after="0" w:line="25" w:lineRule="exact"/>
        <w:rPr>
          <w:rFonts w:ascii="Times New Roman" w:hAnsi="Times New Roman" w:cs="Times New Roman"/>
          <w:sz w:val="15"/>
          <w:szCs w:val="15"/>
        </w:rPr>
      </w:pPr>
    </w:p>
    <w:p w:rsidR="008C5C5F" w:rsidRDefault="008C5C5F" w:rsidP="008C5C5F">
      <w:pPr>
        <w:widowControl w:val="0"/>
        <w:numPr>
          <w:ilvl w:val="0"/>
          <w:numId w:val="1"/>
        </w:numPr>
        <w:tabs>
          <w:tab w:val="clear" w:pos="720"/>
          <w:tab w:val="num" w:pos="260"/>
        </w:tabs>
        <w:overflowPunct w:val="0"/>
        <w:autoSpaceDE w:val="0"/>
        <w:autoSpaceDN w:val="0"/>
        <w:adjustRightInd w:val="0"/>
        <w:spacing w:after="0" w:line="261" w:lineRule="auto"/>
        <w:ind w:left="260" w:hanging="185"/>
        <w:jc w:val="both"/>
        <w:rPr>
          <w:rFonts w:ascii="Times New Roman" w:hAnsi="Times New Roman" w:cs="Times New Roman"/>
          <w:sz w:val="15"/>
          <w:szCs w:val="15"/>
        </w:rPr>
      </w:pPr>
      <w:r>
        <w:rPr>
          <w:rFonts w:ascii="Times New Roman" w:hAnsi="Times New Roman" w:cs="Times New Roman"/>
          <w:sz w:val="15"/>
          <w:szCs w:val="15"/>
        </w:rPr>
        <w:t>Ram CV. Risk of new-onset diabetes mellitus in patient with hypertension treated with beta blockers. Am J Cardiol 2008;102:242</w:t>
      </w:r>
      <w:r>
        <w:rPr>
          <w:rFonts w:ascii="Arial" w:hAnsi="Arial" w:cs="Arial"/>
          <w:sz w:val="15"/>
          <w:szCs w:val="15"/>
        </w:rPr>
        <w:t>–</w:t>
      </w:r>
      <w:r>
        <w:rPr>
          <w:rFonts w:ascii="Times New Roman" w:hAnsi="Times New Roman" w:cs="Times New Roman"/>
          <w:sz w:val="15"/>
          <w:szCs w:val="15"/>
        </w:rPr>
        <w:t xml:space="preserve">244. </w:t>
      </w:r>
    </w:p>
    <w:p w:rsidR="008C5C5F" w:rsidRDefault="008C5C5F" w:rsidP="008C5C5F">
      <w:pPr>
        <w:widowControl w:val="0"/>
        <w:autoSpaceDE w:val="0"/>
        <w:autoSpaceDN w:val="0"/>
        <w:adjustRightInd w:val="0"/>
        <w:spacing w:after="0" w:line="24" w:lineRule="exact"/>
        <w:rPr>
          <w:rFonts w:ascii="Times New Roman" w:hAnsi="Times New Roman" w:cs="Times New Roman"/>
          <w:sz w:val="15"/>
          <w:szCs w:val="15"/>
        </w:rPr>
      </w:pPr>
    </w:p>
    <w:p w:rsidR="008C5C5F" w:rsidRDefault="008C5C5F" w:rsidP="008C5C5F">
      <w:pPr>
        <w:widowControl w:val="0"/>
        <w:numPr>
          <w:ilvl w:val="0"/>
          <w:numId w:val="1"/>
        </w:numPr>
        <w:tabs>
          <w:tab w:val="clear" w:pos="720"/>
          <w:tab w:val="num" w:pos="260"/>
        </w:tabs>
        <w:overflowPunct w:val="0"/>
        <w:autoSpaceDE w:val="0"/>
        <w:autoSpaceDN w:val="0"/>
        <w:adjustRightInd w:val="0"/>
        <w:spacing w:after="0" w:line="255" w:lineRule="auto"/>
        <w:ind w:left="260" w:hanging="185"/>
        <w:jc w:val="both"/>
        <w:rPr>
          <w:rFonts w:ascii="Times New Roman" w:hAnsi="Times New Roman" w:cs="Times New Roman"/>
          <w:sz w:val="15"/>
          <w:szCs w:val="15"/>
        </w:rPr>
      </w:pPr>
      <w:r>
        <w:rPr>
          <w:rFonts w:ascii="Times New Roman" w:hAnsi="Times New Roman" w:cs="Times New Roman"/>
          <w:sz w:val="15"/>
          <w:szCs w:val="15"/>
        </w:rPr>
        <w:t>Zhang T, Ngugen D, Franco P. Enantiomer resolution screening strategy using multiple immobilized polysaccharide-based chiral stationary phases. J Chromatogr A 2008;1191:214</w:t>
      </w:r>
      <w:r>
        <w:rPr>
          <w:rFonts w:ascii="Arial" w:hAnsi="Arial" w:cs="Arial"/>
          <w:sz w:val="15"/>
          <w:szCs w:val="15"/>
        </w:rPr>
        <w:t>–</w:t>
      </w:r>
      <w:r>
        <w:rPr>
          <w:rFonts w:ascii="Times New Roman" w:hAnsi="Times New Roman" w:cs="Times New Roman"/>
          <w:sz w:val="15"/>
          <w:szCs w:val="15"/>
        </w:rPr>
        <w:t xml:space="preserve">219. </w:t>
      </w:r>
    </w:p>
    <w:p w:rsidR="008C5C5F" w:rsidRDefault="008C5C5F" w:rsidP="008C5C5F">
      <w:pPr>
        <w:widowControl w:val="0"/>
        <w:autoSpaceDE w:val="0"/>
        <w:autoSpaceDN w:val="0"/>
        <w:adjustRightInd w:val="0"/>
        <w:spacing w:after="0" w:line="28" w:lineRule="exact"/>
        <w:rPr>
          <w:rFonts w:ascii="Times New Roman" w:hAnsi="Times New Roman" w:cs="Times New Roman"/>
          <w:sz w:val="15"/>
          <w:szCs w:val="15"/>
        </w:rPr>
      </w:pPr>
    </w:p>
    <w:p w:rsidR="008C5C5F" w:rsidRDefault="008C5C5F" w:rsidP="008C5C5F">
      <w:pPr>
        <w:widowControl w:val="0"/>
        <w:numPr>
          <w:ilvl w:val="0"/>
          <w:numId w:val="1"/>
        </w:numPr>
        <w:tabs>
          <w:tab w:val="clear" w:pos="720"/>
          <w:tab w:val="num" w:pos="260"/>
        </w:tabs>
        <w:overflowPunct w:val="0"/>
        <w:autoSpaceDE w:val="0"/>
        <w:autoSpaceDN w:val="0"/>
        <w:adjustRightInd w:val="0"/>
        <w:spacing w:after="0" w:line="254" w:lineRule="auto"/>
        <w:ind w:left="260" w:hanging="185"/>
        <w:jc w:val="both"/>
        <w:rPr>
          <w:rFonts w:ascii="Times New Roman" w:hAnsi="Times New Roman" w:cs="Times New Roman"/>
          <w:sz w:val="15"/>
          <w:szCs w:val="15"/>
        </w:rPr>
      </w:pPr>
      <w:r>
        <w:rPr>
          <w:rFonts w:ascii="Times New Roman" w:hAnsi="Times New Roman" w:cs="Times New Roman"/>
          <w:sz w:val="15"/>
          <w:szCs w:val="15"/>
        </w:rPr>
        <w:t>Zhang T, Dgugen N, Franco P, Murakani T, Ohnishi A, Kurosawa H. Cellulose 3,5dimethylphenylcarbamate immobilized on silica: a new chiral stationary phase for the analysis of enantiomers. Anal Chim Acta 2006;557:221</w:t>
      </w:r>
      <w:r>
        <w:rPr>
          <w:rFonts w:ascii="Arial" w:hAnsi="Arial" w:cs="Arial"/>
          <w:sz w:val="15"/>
          <w:szCs w:val="15"/>
        </w:rPr>
        <w:t>–</w:t>
      </w:r>
      <w:r>
        <w:rPr>
          <w:rFonts w:ascii="Times New Roman" w:hAnsi="Times New Roman" w:cs="Times New Roman"/>
          <w:sz w:val="15"/>
          <w:szCs w:val="15"/>
        </w:rPr>
        <w:t xml:space="preserve">228. </w:t>
      </w:r>
    </w:p>
    <w:p w:rsidR="008C5C5F" w:rsidRDefault="008C5C5F" w:rsidP="008C5C5F">
      <w:pPr>
        <w:widowControl w:val="0"/>
        <w:autoSpaceDE w:val="0"/>
        <w:autoSpaceDN w:val="0"/>
        <w:adjustRightInd w:val="0"/>
        <w:spacing w:after="0" w:line="29" w:lineRule="exact"/>
        <w:rPr>
          <w:rFonts w:ascii="Times New Roman" w:hAnsi="Times New Roman" w:cs="Times New Roman"/>
          <w:sz w:val="15"/>
          <w:szCs w:val="15"/>
        </w:rPr>
      </w:pPr>
    </w:p>
    <w:p w:rsidR="008C5C5F" w:rsidRDefault="008C5C5F" w:rsidP="008C5C5F">
      <w:pPr>
        <w:widowControl w:val="0"/>
        <w:numPr>
          <w:ilvl w:val="0"/>
          <w:numId w:val="1"/>
        </w:numPr>
        <w:tabs>
          <w:tab w:val="clear" w:pos="720"/>
          <w:tab w:val="num" w:pos="260"/>
        </w:tabs>
        <w:overflowPunct w:val="0"/>
        <w:autoSpaceDE w:val="0"/>
        <w:autoSpaceDN w:val="0"/>
        <w:adjustRightInd w:val="0"/>
        <w:spacing w:after="0" w:line="261" w:lineRule="auto"/>
        <w:ind w:left="260" w:hanging="185"/>
        <w:jc w:val="both"/>
        <w:rPr>
          <w:rFonts w:ascii="Times New Roman" w:hAnsi="Times New Roman" w:cs="Times New Roman"/>
          <w:sz w:val="15"/>
          <w:szCs w:val="15"/>
        </w:rPr>
      </w:pPr>
      <w:r>
        <w:rPr>
          <w:rFonts w:ascii="Times New Roman" w:hAnsi="Times New Roman" w:cs="Times New Roman"/>
          <w:sz w:val="15"/>
          <w:szCs w:val="15"/>
        </w:rPr>
        <w:t xml:space="preserve">Hoffmann CV, Laemmerhofer M, Linder W. Novel strong cation-exchange type chiral stationary phase for the enantiomer separation of chiral amines </w:t>
      </w:r>
    </w:p>
    <w:p w:rsidR="008C5C5F" w:rsidRDefault="008C5C5F" w:rsidP="008C5C5F">
      <w:pPr>
        <w:widowControl w:val="0"/>
        <w:autoSpaceDE w:val="0"/>
        <w:autoSpaceDN w:val="0"/>
        <w:adjustRightInd w:val="0"/>
        <w:spacing w:after="0" w:line="76"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r>
        <w:rPr>
          <w:rFonts w:ascii="Times New Roman" w:hAnsi="Times New Roman" w:cs="Times New Roman"/>
          <w:sz w:val="24"/>
          <w:szCs w:val="24"/>
        </w:rPr>
        <w:br w:type="column"/>
      </w: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46"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15"/>
          <w:szCs w:val="15"/>
        </w:rPr>
        <w:t>propranolol  showing  the  hydrogen  bond  formation  with  cellulose  tris(3,5-</w:t>
      </w:r>
    </w:p>
    <w:p w:rsidR="008C5C5F" w:rsidRDefault="008C5C5F" w:rsidP="008C5C5F">
      <w:pPr>
        <w:widowControl w:val="0"/>
        <w:autoSpaceDE w:val="0"/>
        <w:autoSpaceDN w:val="0"/>
        <w:adjustRightInd w:val="0"/>
        <w:spacing w:after="0" w:line="200" w:lineRule="exact"/>
        <w:rPr>
          <w:rFonts w:ascii="Times New Roman" w:hAnsi="Times New Roman" w:cs="Times New Roman"/>
          <w:sz w:val="24"/>
          <w:szCs w:val="24"/>
        </w:rPr>
      </w:pPr>
    </w:p>
    <w:p w:rsidR="008C5C5F" w:rsidRDefault="008C5C5F" w:rsidP="008C5C5F">
      <w:pPr>
        <w:widowControl w:val="0"/>
        <w:autoSpaceDE w:val="0"/>
        <w:autoSpaceDN w:val="0"/>
        <w:adjustRightInd w:val="0"/>
        <w:spacing w:after="0" w:line="308" w:lineRule="exact"/>
        <w:rPr>
          <w:rFonts w:ascii="Times New Roman" w:hAnsi="Times New Roman" w:cs="Times New Roman"/>
          <w:sz w:val="24"/>
          <w:szCs w:val="24"/>
        </w:rPr>
      </w:pPr>
    </w:p>
    <w:p w:rsidR="008C5C5F" w:rsidRDefault="008C5C5F" w:rsidP="008C5C5F">
      <w:pPr>
        <w:widowControl w:val="0"/>
        <w:overflowPunct w:val="0"/>
        <w:autoSpaceDE w:val="0"/>
        <w:autoSpaceDN w:val="0"/>
        <w:adjustRightInd w:val="0"/>
        <w:spacing w:after="0" w:line="290" w:lineRule="auto"/>
        <w:ind w:left="660"/>
        <w:rPr>
          <w:rFonts w:ascii="Times New Roman" w:hAnsi="Times New Roman" w:cs="Times New Roman"/>
          <w:sz w:val="24"/>
          <w:szCs w:val="24"/>
        </w:rPr>
      </w:pPr>
      <w:r>
        <w:rPr>
          <w:rFonts w:ascii="Times New Roman" w:hAnsi="Times New Roman" w:cs="Times New Roman"/>
          <w:sz w:val="15"/>
          <w:szCs w:val="15"/>
        </w:rPr>
        <w:t>by high-performance liquid chromatography. J Chromatogr A 2007; 1161:242</w:t>
      </w:r>
      <w:r>
        <w:rPr>
          <w:rFonts w:ascii="Arial" w:hAnsi="Arial" w:cs="Arial"/>
          <w:sz w:val="15"/>
          <w:szCs w:val="15"/>
        </w:rPr>
        <w:t>–</w:t>
      </w:r>
      <w:r>
        <w:rPr>
          <w:rFonts w:ascii="Times New Roman" w:hAnsi="Times New Roman" w:cs="Times New Roman"/>
          <w:sz w:val="15"/>
          <w:szCs w:val="15"/>
        </w:rPr>
        <w:t>251.</w:t>
      </w:r>
    </w:p>
    <w:p w:rsidR="008C5C5F" w:rsidRDefault="008C5C5F" w:rsidP="008C5C5F">
      <w:pPr>
        <w:widowControl w:val="0"/>
        <w:autoSpaceDE w:val="0"/>
        <w:autoSpaceDN w:val="0"/>
        <w:adjustRightInd w:val="0"/>
        <w:spacing w:after="0" w:line="3" w:lineRule="exact"/>
        <w:rPr>
          <w:rFonts w:ascii="Times New Roman" w:hAnsi="Times New Roman" w:cs="Times New Roman"/>
          <w:sz w:val="24"/>
          <w:szCs w:val="24"/>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83" w:lineRule="auto"/>
        <w:ind w:left="660" w:hanging="185"/>
        <w:jc w:val="both"/>
        <w:rPr>
          <w:rFonts w:ascii="Times New Roman" w:hAnsi="Times New Roman" w:cs="Times New Roman"/>
          <w:sz w:val="15"/>
          <w:szCs w:val="15"/>
        </w:rPr>
      </w:pPr>
      <w:r>
        <w:rPr>
          <w:rFonts w:ascii="Times New Roman" w:hAnsi="Times New Roman" w:cs="Times New Roman"/>
          <w:sz w:val="15"/>
          <w:szCs w:val="15"/>
        </w:rPr>
        <w:t>Cavazzini A, Nadalini G, Costa V, Dondi F. Heterogeneity of adsorption mechanisms in chiral normal-phase liquid chromatography: 2-propanol and ethyl acetate adsorption equilibria. J Chromatogr A 2007;1143:134</w:t>
      </w:r>
      <w:r>
        <w:rPr>
          <w:rFonts w:ascii="Arial" w:hAnsi="Arial" w:cs="Arial"/>
          <w:sz w:val="15"/>
          <w:szCs w:val="15"/>
        </w:rPr>
        <w:t>–</w:t>
      </w:r>
      <w:r>
        <w:rPr>
          <w:rFonts w:ascii="Times New Roman" w:hAnsi="Times New Roman" w:cs="Times New Roman"/>
          <w:sz w:val="15"/>
          <w:szCs w:val="15"/>
        </w:rPr>
        <w:t xml:space="preserve">142. </w:t>
      </w:r>
    </w:p>
    <w:p w:rsidR="008C5C5F" w:rsidRDefault="008C5C5F" w:rsidP="008C5C5F">
      <w:pPr>
        <w:widowControl w:val="0"/>
        <w:autoSpaceDE w:val="0"/>
        <w:autoSpaceDN w:val="0"/>
        <w:adjustRightInd w:val="0"/>
        <w:spacing w:after="0" w:line="8"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56" w:lineRule="auto"/>
        <w:ind w:left="660" w:hanging="185"/>
        <w:jc w:val="both"/>
        <w:rPr>
          <w:rFonts w:ascii="Times New Roman" w:hAnsi="Times New Roman" w:cs="Times New Roman"/>
          <w:sz w:val="15"/>
          <w:szCs w:val="15"/>
        </w:rPr>
      </w:pPr>
      <w:r>
        <w:rPr>
          <w:rFonts w:ascii="Times New Roman" w:hAnsi="Times New Roman" w:cs="Times New Roman"/>
          <w:sz w:val="15"/>
          <w:szCs w:val="15"/>
        </w:rPr>
        <w:t>Kitchen DB, Decornez H, Furr JR, Bajorath J. Docking and scoring in virtual screening for drug discovery: methods and applications. Nat Rev Drug Dis 2004;3:935</w:t>
      </w:r>
      <w:r>
        <w:rPr>
          <w:rFonts w:ascii="Arial" w:hAnsi="Arial" w:cs="Arial"/>
          <w:sz w:val="15"/>
          <w:szCs w:val="15"/>
        </w:rPr>
        <w:t>–</w:t>
      </w:r>
      <w:r>
        <w:rPr>
          <w:rFonts w:ascii="Times New Roman" w:hAnsi="Times New Roman" w:cs="Times New Roman"/>
          <w:sz w:val="15"/>
          <w:szCs w:val="15"/>
        </w:rPr>
        <w:t xml:space="preserve">949. </w:t>
      </w:r>
    </w:p>
    <w:p w:rsidR="008C5C5F" w:rsidRDefault="008C5C5F" w:rsidP="008C5C5F">
      <w:pPr>
        <w:widowControl w:val="0"/>
        <w:autoSpaceDE w:val="0"/>
        <w:autoSpaceDN w:val="0"/>
        <w:adjustRightInd w:val="0"/>
        <w:spacing w:after="0" w:line="27"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62" w:lineRule="auto"/>
        <w:ind w:left="660" w:hanging="185"/>
        <w:jc w:val="both"/>
        <w:rPr>
          <w:rFonts w:ascii="Times New Roman" w:hAnsi="Times New Roman" w:cs="Times New Roman"/>
          <w:sz w:val="15"/>
          <w:szCs w:val="15"/>
        </w:rPr>
      </w:pPr>
      <w:r>
        <w:rPr>
          <w:rFonts w:ascii="Times New Roman" w:hAnsi="Times New Roman" w:cs="Times New Roman"/>
          <w:sz w:val="15"/>
          <w:szCs w:val="15"/>
        </w:rPr>
        <w:t xml:space="preserve">Kubinyi H, Folkers G, Marti YC. 3D QSAR in drug design. New York: Kluwer academic publishers; 1997. </w:t>
      </w:r>
    </w:p>
    <w:p w:rsidR="008C5C5F" w:rsidRDefault="008C5C5F" w:rsidP="008C5C5F">
      <w:pPr>
        <w:widowControl w:val="0"/>
        <w:autoSpaceDE w:val="0"/>
        <w:autoSpaceDN w:val="0"/>
        <w:adjustRightInd w:val="0"/>
        <w:spacing w:after="0" w:line="23"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08" w:lineRule="auto"/>
        <w:ind w:left="660" w:hanging="185"/>
        <w:jc w:val="both"/>
        <w:rPr>
          <w:rFonts w:ascii="Times New Roman" w:hAnsi="Times New Roman" w:cs="Times New Roman"/>
          <w:sz w:val="15"/>
          <w:szCs w:val="15"/>
        </w:rPr>
      </w:pPr>
      <w:r>
        <w:rPr>
          <w:rFonts w:ascii="Times New Roman" w:hAnsi="Times New Roman" w:cs="Times New Roman"/>
          <w:sz w:val="15"/>
          <w:szCs w:val="15"/>
        </w:rPr>
        <w:t xml:space="preserve">Li W, Liu C, Tan G, Zhang X, Zhu Z, Chai Y. Molecular modeling study of chiral separation and recognition mechanism of </w:t>
      </w:r>
      <w:r>
        <w:rPr>
          <w:rFonts w:ascii="Gabriola" w:hAnsi="Gabriola" w:cs="Gabriola"/>
          <w:sz w:val="15"/>
          <w:szCs w:val="15"/>
        </w:rPr>
        <w:t>β</w:t>
      </w:r>
      <w:r>
        <w:rPr>
          <w:rFonts w:ascii="Times New Roman" w:hAnsi="Times New Roman" w:cs="Times New Roman"/>
          <w:sz w:val="15"/>
          <w:szCs w:val="15"/>
        </w:rPr>
        <w:t>-adrenergic antagonists by capillary electrophoresis. Int J Mol Sci 2012;13:710</w:t>
      </w:r>
      <w:r>
        <w:rPr>
          <w:rFonts w:ascii="Arial" w:hAnsi="Arial" w:cs="Arial"/>
          <w:sz w:val="15"/>
          <w:szCs w:val="15"/>
        </w:rPr>
        <w:t>–</w:t>
      </w:r>
      <w:r>
        <w:rPr>
          <w:rFonts w:ascii="Times New Roman" w:hAnsi="Times New Roman" w:cs="Times New Roman"/>
          <w:sz w:val="15"/>
          <w:szCs w:val="15"/>
        </w:rPr>
        <w:t xml:space="preserve">725. </w:t>
      </w:r>
    </w:p>
    <w:p w:rsidR="008C5C5F" w:rsidRDefault="008C5C5F" w:rsidP="008C5C5F">
      <w:pPr>
        <w:widowControl w:val="0"/>
        <w:autoSpaceDE w:val="0"/>
        <w:autoSpaceDN w:val="0"/>
        <w:adjustRightInd w:val="0"/>
        <w:spacing w:after="0" w:line="40"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56" w:lineRule="auto"/>
        <w:ind w:left="660" w:hanging="260"/>
        <w:jc w:val="both"/>
        <w:rPr>
          <w:rFonts w:ascii="Times New Roman" w:hAnsi="Times New Roman" w:cs="Times New Roman"/>
          <w:sz w:val="15"/>
          <w:szCs w:val="15"/>
        </w:rPr>
      </w:pPr>
      <w:r>
        <w:rPr>
          <w:rFonts w:ascii="Times New Roman" w:hAnsi="Times New Roman" w:cs="Times New Roman"/>
          <w:sz w:val="15"/>
          <w:szCs w:val="15"/>
        </w:rPr>
        <w:t>Yu T, Du Y, Chen B. Evaluation of clarithromycin lactobionate as a novel chiral selector for enantiomeric separation of basic drugs in capillary electrophoresis. Electrophoresis 2011;32:1898</w:t>
      </w:r>
      <w:r>
        <w:rPr>
          <w:rFonts w:ascii="Arial" w:hAnsi="Arial" w:cs="Arial"/>
          <w:sz w:val="15"/>
          <w:szCs w:val="15"/>
        </w:rPr>
        <w:t>–</w:t>
      </w:r>
      <w:r>
        <w:rPr>
          <w:rFonts w:ascii="Times New Roman" w:hAnsi="Times New Roman" w:cs="Times New Roman"/>
          <w:sz w:val="15"/>
          <w:szCs w:val="15"/>
        </w:rPr>
        <w:t xml:space="preserve">1905. </w:t>
      </w:r>
    </w:p>
    <w:p w:rsidR="008C5C5F" w:rsidRDefault="008C5C5F" w:rsidP="008C5C5F">
      <w:pPr>
        <w:widowControl w:val="0"/>
        <w:autoSpaceDE w:val="0"/>
        <w:autoSpaceDN w:val="0"/>
        <w:adjustRightInd w:val="0"/>
        <w:spacing w:after="0" w:line="27"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81" w:lineRule="auto"/>
        <w:ind w:left="660" w:hanging="260"/>
        <w:jc w:val="both"/>
        <w:rPr>
          <w:rFonts w:ascii="Times New Roman" w:hAnsi="Times New Roman" w:cs="Times New Roman"/>
          <w:sz w:val="15"/>
          <w:szCs w:val="15"/>
        </w:rPr>
      </w:pPr>
      <w:r>
        <w:rPr>
          <w:rFonts w:ascii="Times New Roman" w:hAnsi="Times New Roman" w:cs="Times New Roman"/>
          <w:sz w:val="15"/>
          <w:szCs w:val="15"/>
        </w:rPr>
        <w:t>Servais AC, Rousseau A, Fillet M, Lomsadze K, Salgado A, Crommen J, Chankvetadze B. Separation of propranolol enantiomers by CE using sulfated beta-CD derivatives in aqueous and non-aqueous electrolytes: comparative CE and NMR study. Electrophoresis 2010;31:1467</w:t>
      </w:r>
      <w:r>
        <w:rPr>
          <w:rFonts w:ascii="Arial" w:hAnsi="Arial" w:cs="Arial"/>
          <w:sz w:val="15"/>
          <w:szCs w:val="15"/>
        </w:rPr>
        <w:t>–</w:t>
      </w:r>
      <w:r>
        <w:rPr>
          <w:rFonts w:ascii="Times New Roman" w:hAnsi="Times New Roman" w:cs="Times New Roman"/>
          <w:sz w:val="15"/>
          <w:szCs w:val="15"/>
        </w:rPr>
        <w:t xml:space="preserve">1474. </w:t>
      </w:r>
    </w:p>
    <w:p w:rsidR="008C5C5F" w:rsidRDefault="008C5C5F" w:rsidP="008C5C5F">
      <w:pPr>
        <w:widowControl w:val="0"/>
        <w:autoSpaceDE w:val="0"/>
        <w:autoSpaceDN w:val="0"/>
        <w:adjustRightInd w:val="0"/>
        <w:spacing w:after="0" w:line="11"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55" w:lineRule="auto"/>
        <w:ind w:left="660" w:hanging="260"/>
        <w:jc w:val="both"/>
        <w:rPr>
          <w:rFonts w:ascii="Times New Roman" w:hAnsi="Times New Roman" w:cs="Times New Roman"/>
          <w:sz w:val="15"/>
          <w:szCs w:val="15"/>
        </w:rPr>
      </w:pPr>
      <w:r>
        <w:rPr>
          <w:rFonts w:ascii="Times New Roman" w:hAnsi="Times New Roman" w:cs="Times New Roman"/>
          <w:sz w:val="15"/>
          <w:szCs w:val="15"/>
        </w:rPr>
        <w:t>Wagdy HA, Hana</w:t>
      </w:r>
      <w:r>
        <w:rPr>
          <w:rFonts w:ascii="Arial" w:hAnsi="Arial" w:cs="Arial"/>
          <w:sz w:val="15"/>
          <w:szCs w:val="15"/>
        </w:rPr>
        <w:t>fi</w:t>
      </w:r>
      <w:r>
        <w:rPr>
          <w:rFonts w:ascii="Times New Roman" w:hAnsi="Times New Roman" w:cs="Times New Roman"/>
          <w:sz w:val="15"/>
          <w:szCs w:val="15"/>
        </w:rPr>
        <w:t xml:space="preserve"> RS, El-Nashar RM, Aboul-Enein HY. Predictability of enantiomeric chromatographic behavior on various chiral stationary phases using typical reversed phase modeling software. Chirality 2013; 25:506</w:t>
      </w:r>
      <w:r>
        <w:rPr>
          <w:rFonts w:ascii="Arial" w:hAnsi="Arial" w:cs="Arial"/>
          <w:sz w:val="15"/>
          <w:szCs w:val="15"/>
        </w:rPr>
        <w:t>–</w:t>
      </w:r>
      <w:r>
        <w:rPr>
          <w:rFonts w:ascii="Times New Roman" w:hAnsi="Times New Roman" w:cs="Times New Roman"/>
          <w:sz w:val="15"/>
          <w:szCs w:val="15"/>
        </w:rPr>
        <w:t xml:space="preserve">513. </w:t>
      </w:r>
    </w:p>
    <w:p w:rsidR="008C5C5F" w:rsidRDefault="008C5C5F" w:rsidP="008C5C5F">
      <w:pPr>
        <w:widowControl w:val="0"/>
        <w:autoSpaceDE w:val="0"/>
        <w:autoSpaceDN w:val="0"/>
        <w:adjustRightInd w:val="0"/>
        <w:spacing w:after="0" w:line="208"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17" w:lineRule="auto"/>
        <w:ind w:left="660" w:hanging="260"/>
        <w:jc w:val="both"/>
        <w:rPr>
          <w:rFonts w:ascii="Times New Roman" w:hAnsi="Times New Roman" w:cs="Times New Roman"/>
          <w:sz w:val="15"/>
          <w:szCs w:val="15"/>
        </w:rPr>
      </w:pPr>
      <w:r>
        <w:rPr>
          <w:rFonts w:ascii="Times New Roman" w:hAnsi="Times New Roman" w:cs="Times New Roman"/>
          <w:sz w:val="15"/>
          <w:szCs w:val="15"/>
        </w:rPr>
        <w:t>Bodoki E, Oltean M, Bodoki A, tiu</w:t>
      </w:r>
      <w:r>
        <w:rPr>
          <w:rFonts w:ascii="Arial" w:hAnsi="Arial" w:cs="Arial"/>
          <w:sz w:val="15"/>
          <w:szCs w:val="15"/>
        </w:rPr>
        <w:t>fi</w:t>
      </w:r>
      <w:r>
        <w:rPr>
          <w:rFonts w:ascii="Times New Roman" w:hAnsi="Times New Roman" w:cs="Times New Roman"/>
          <w:sz w:val="15"/>
          <w:szCs w:val="15"/>
        </w:rPr>
        <w:t>uc R. Chiral recognition and quanti</w:t>
      </w:r>
      <w:r>
        <w:rPr>
          <w:rFonts w:ascii="Arial" w:hAnsi="Arial" w:cs="Arial"/>
          <w:sz w:val="15"/>
          <w:szCs w:val="15"/>
        </w:rPr>
        <w:t>fi</w:t>
      </w:r>
      <w:r>
        <w:rPr>
          <w:rFonts w:ascii="Times New Roman" w:hAnsi="Times New Roman" w:cs="Times New Roman"/>
          <w:sz w:val="15"/>
          <w:szCs w:val="15"/>
        </w:rPr>
        <w:t xml:space="preserve">-cation of propranolol enantiomers by surface enhanced Raman scattering through supramolecular interaction with </w:t>
      </w:r>
      <w:r>
        <w:rPr>
          <w:rFonts w:ascii="Gabriola" w:hAnsi="Gabriola" w:cs="Gabriola"/>
          <w:sz w:val="15"/>
          <w:szCs w:val="15"/>
        </w:rPr>
        <w:t>β</w:t>
      </w:r>
      <w:r>
        <w:rPr>
          <w:rFonts w:ascii="Times New Roman" w:hAnsi="Times New Roman" w:cs="Times New Roman"/>
          <w:sz w:val="15"/>
          <w:szCs w:val="15"/>
        </w:rPr>
        <w:t>-cyclodextrin. Talanta 2012; 101:53</w:t>
      </w:r>
      <w:r>
        <w:rPr>
          <w:rFonts w:ascii="Arial" w:hAnsi="Arial" w:cs="Arial"/>
          <w:sz w:val="15"/>
          <w:szCs w:val="15"/>
        </w:rPr>
        <w:t>–</w:t>
      </w:r>
      <w:r>
        <w:rPr>
          <w:rFonts w:ascii="Times New Roman" w:hAnsi="Times New Roman" w:cs="Times New Roman"/>
          <w:sz w:val="15"/>
          <w:szCs w:val="15"/>
        </w:rPr>
        <w:t xml:space="preserve">58. </w:t>
      </w:r>
    </w:p>
    <w:p w:rsidR="008C5C5F" w:rsidRDefault="008C5C5F" w:rsidP="008C5C5F">
      <w:pPr>
        <w:widowControl w:val="0"/>
        <w:autoSpaceDE w:val="0"/>
        <w:autoSpaceDN w:val="0"/>
        <w:adjustRightInd w:val="0"/>
        <w:spacing w:after="0" w:line="42"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53" w:lineRule="auto"/>
        <w:ind w:left="660" w:hanging="260"/>
        <w:jc w:val="both"/>
        <w:rPr>
          <w:rFonts w:ascii="Times New Roman" w:hAnsi="Times New Roman" w:cs="Times New Roman"/>
          <w:sz w:val="15"/>
          <w:szCs w:val="15"/>
        </w:rPr>
      </w:pPr>
      <w:r>
        <w:rPr>
          <w:rFonts w:ascii="Times New Roman" w:hAnsi="Times New Roman" w:cs="Times New Roman"/>
          <w:sz w:val="15"/>
          <w:szCs w:val="15"/>
        </w:rPr>
        <w:t>Morante-Zarcero S, Sierra I. Simultaneous enantiomeric determination of propranolol, metoprolol, pindolol, and atenolol in natural waters by HPLC on new polysaccharide-based stationary phase using a highly selective molecularly imprinted polymer extraction. Chirality 2012;24:860</w:t>
      </w:r>
      <w:r>
        <w:rPr>
          <w:rFonts w:ascii="Arial" w:hAnsi="Arial" w:cs="Arial"/>
          <w:sz w:val="15"/>
          <w:szCs w:val="15"/>
        </w:rPr>
        <w:t>–</w:t>
      </w:r>
      <w:r>
        <w:rPr>
          <w:rFonts w:ascii="Times New Roman" w:hAnsi="Times New Roman" w:cs="Times New Roman"/>
          <w:sz w:val="15"/>
          <w:szCs w:val="15"/>
        </w:rPr>
        <w:t xml:space="preserve">866. </w:t>
      </w:r>
    </w:p>
    <w:p w:rsidR="008C5C5F" w:rsidRDefault="008C5C5F" w:rsidP="008C5C5F">
      <w:pPr>
        <w:widowControl w:val="0"/>
        <w:autoSpaceDE w:val="0"/>
        <w:autoSpaceDN w:val="0"/>
        <w:adjustRightInd w:val="0"/>
        <w:spacing w:after="0" w:line="31"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17" w:lineRule="auto"/>
        <w:ind w:left="660" w:hanging="260"/>
        <w:jc w:val="both"/>
        <w:rPr>
          <w:rFonts w:ascii="Times New Roman" w:hAnsi="Times New Roman" w:cs="Times New Roman"/>
          <w:sz w:val="15"/>
          <w:szCs w:val="15"/>
        </w:rPr>
      </w:pPr>
      <w:r>
        <w:rPr>
          <w:rFonts w:ascii="Times New Roman" w:hAnsi="Times New Roman" w:cs="Times New Roman"/>
          <w:sz w:val="15"/>
          <w:szCs w:val="15"/>
        </w:rPr>
        <w:t xml:space="preserve">Morante-Zarcero S, Sierra I. Comparative HPLC methods for </w:t>
      </w:r>
      <w:r>
        <w:rPr>
          <w:rFonts w:ascii="Gabriola" w:hAnsi="Gabriola" w:cs="Gabriola"/>
          <w:sz w:val="15"/>
          <w:szCs w:val="15"/>
        </w:rPr>
        <w:t>β</w:t>
      </w:r>
      <w:r>
        <w:rPr>
          <w:rFonts w:ascii="Times New Roman" w:hAnsi="Times New Roman" w:cs="Times New Roman"/>
          <w:sz w:val="15"/>
          <w:szCs w:val="15"/>
        </w:rPr>
        <w:t>-blockers separation using different types of chiral stationary phases in normal phase and polar organic phase elution modes. Analysis of proprano-lolenantiomers in natural waters. J Pharm Biomed Anal 2012;62:33</w:t>
      </w:r>
      <w:r>
        <w:rPr>
          <w:rFonts w:ascii="Arial" w:hAnsi="Arial" w:cs="Arial"/>
          <w:sz w:val="15"/>
          <w:szCs w:val="15"/>
        </w:rPr>
        <w:t>–</w:t>
      </w:r>
      <w:r>
        <w:rPr>
          <w:rFonts w:ascii="Times New Roman" w:hAnsi="Times New Roman" w:cs="Times New Roman"/>
          <w:sz w:val="15"/>
          <w:szCs w:val="15"/>
        </w:rPr>
        <w:t xml:space="preserve">41. </w:t>
      </w:r>
    </w:p>
    <w:p w:rsidR="008C5C5F" w:rsidRDefault="008C5C5F" w:rsidP="008C5C5F">
      <w:pPr>
        <w:widowControl w:val="0"/>
        <w:autoSpaceDE w:val="0"/>
        <w:autoSpaceDN w:val="0"/>
        <w:adjustRightInd w:val="0"/>
        <w:spacing w:after="0" w:line="41"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55" w:lineRule="auto"/>
        <w:ind w:left="660" w:hanging="260"/>
        <w:jc w:val="both"/>
        <w:rPr>
          <w:rFonts w:ascii="Times New Roman" w:hAnsi="Times New Roman" w:cs="Times New Roman"/>
          <w:sz w:val="15"/>
          <w:szCs w:val="15"/>
        </w:rPr>
      </w:pPr>
      <w:r>
        <w:rPr>
          <w:rFonts w:ascii="Times New Roman" w:hAnsi="Times New Roman" w:cs="Times New Roman"/>
          <w:sz w:val="15"/>
          <w:szCs w:val="15"/>
        </w:rPr>
        <w:t>Trott O, Olson AJ. AutoDock Vina: Improving the speed and accuracy of docking with a new scoring function, ef</w:t>
      </w:r>
      <w:r>
        <w:rPr>
          <w:rFonts w:ascii="Arial" w:hAnsi="Arial" w:cs="Arial"/>
          <w:sz w:val="15"/>
          <w:szCs w:val="15"/>
        </w:rPr>
        <w:t>fi</w:t>
      </w:r>
      <w:r>
        <w:rPr>
          <w:rFonts w:ascii="Times New Roman" w:hAnsi="Times New Roman" w:cs="Times New Roman"/>
          <w:sz w:val="15"/>
          <w:szCs w:val="15"/>
        </w:rPr>
        <w:t>cient optimization, and multithreading. J Comp Chem 2010;31:455</w:t>
      </w:r>
      <w:r>
        <w:rPr>
          <w:rFonts w:ascii="Arial" w:hAnsi="Arial" w:cs="Arial"/>
          <w:sz w:val="15"/>
          <w:szCs w:val="15"/>
        </w:rPr>
        <w:t>–</w:t>
      </w:r>
      <w:r>
        <w:rPr>
          <w:rFonts w:ascii="Times New Roman" w:hAnsi="Times New Roman" w:cs="Times New Roman"/>
          <w:sz w:val="15"/>
          <w:szCs w:val="15"/>
        </w:rPr>
        <w:t xml:space="preserve">461. </w:t>
      </w:r>
    </w:p>
    <w:p w:rsidR="008C5C5F" w:rsidRDefault="008C5C5F" w:rsidP="008C5C5F">
      <w:pPr>
        <w:widowControl w:val="0"/>
        <w:autoSpaceDE w:val="0"/>
        <w:autoSpaceDN w:val="0"/>
        <w:adjustRightInd w:val="0"/>
        <w:spacing w:after="0" w:line="29"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40" w:lineRule="auto"/>
        <w:ind w:left="660" w:hanging="260"/>
        <w:jc w:val="both"/>
        <w:rPr>
          <w:rFonts w:ascii="Times New Roman" w:hAnsi="Times New Roman" w:cs="Times New Roman"/>
          <w:sz w:val="15"/>
          <w:szCs w:val="15"/>
        </w:rPr>
      </w:pPr>
      <w:r>
        <w:rPr>
          <w:rFonts w:ascii="Times New Roman" w:hAnsi="Times New Roman" w:cs="Times New Roman"/>
          <w:sz w:val="15"/>
          <w:szCs w:val="15"/>
        </w:rPr>
        <w:t>Michel F News and views. J Mol Graph Mod 1999;17:55</w:t>
      </w:r>
      <w:r>
        <w:rPr>
          <w:rFonts w:ascii="Arial" w:hAnsi="Arial" w:cs="Arial"/>
          <w:sz w:val="15"/>
          <w:szCs w:val="15"/>
        </w:rPr>
        <w:t>–</w:t>
      </w:r>
      <w:r>
        <w:rPr>
          <w:rFonts w:ascii="Times New Roman" w:hAnsi="Times New Roman" w:cs="Times New Roman"/>
          <w:sz w:val="15"/>
          <w:szCs w:val="15"/>
        </w:rPr>
        <w:t xml:space="preserve">84. </w:t>
      </w:r>
    </w:p>
    <w:p w:rsidR="008C5C5F" w:rsidRDefault="008C5C5F" w:rsidP="008C5C5F">
      <w:pPr>
        <w:widowControl w:val="0"/>
        <w:autoSpaceDE w:val="0"/>
        <w:autoSpaceDN w:val="0"/>
        <w:adjustRightInd w:val="0"/>
        <w:spacing w:after="0" w:line="46"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17" w:lineRule="auto"/>
        <w:ind w:left="660" w:hanging="260"/>
        <w:jc w:val="both"/>
        <w:rPr>
          <w:rFonts w:ascii="Times New Roman" w:hAnsi="Times New Roman" w:cs="Times New Roman"/>
          <w:sz w:val="15"/>
          <w:szCs w:val="15"/>
        </w:rPr>
      </w:pPr>
      <w:r>
        <w:rPr>
          <w:rFonts w:ascii="Times New Roman" w:hAnsi="Times New Roman" w:cs="Times New Roman"/>
          <w:sz w:val="15"/>
          <w:szCs w:val="15"/>
        </w:rPr>
        <w:t xml:space="preserve">Rasmussen S, Choi HJ, Rosenbaum DM, Kobilka YS, Thian FS, Edwards PC, Burghammer M, Ratnala V, Sanishvili R, Fischetti RF, Schertler GF, Weis W, Kobilka BK. Crystal structure of the human </w:t>
      </w:r>
      <w:r>
        <w:rPr>
          <w:rFonts w:ascii="Gabriola" w:hAnsi="Gabriola" w:cs="Gabriola"/>
          <w:sz w:val="15"/>
          <w:szCs w:val="15"/>
        </w:rPr>
        <w:t>β</w:t>
      </w:r>
      <w:r>
        <w:rPr>
          <w:rFonts w:ascii="Times New Roman" w:hAnsi="Times New Roman" w:cs="Times New Roman"/>
          <w:sz w:val="19"/>
          <w:szCs w:val="19"/>
          <w:vertAlign w:val="subscript"/>
        </w:rPr>
        <w:t>2</w:t>
      </w:r>
      <w:r>
        <w:rPr>
          <w:rFonts w:ascii="Times New Roman" w:hAnsi="Times New Roman" w:cs="Times New Roman"/>
          <w:sz w:val="15"/>
          <w:szCs w:val="15"/>
        </w:rPr>
        <w:t xml:space="preserve"> adrenergic G-protein-coupled receptor. Nature 2007;450:383</w:t>
      </w:r>
      <w:r>
        <w:rPr>
          <w:rFonts w:ascii="Arial" w:hAnsi="Arial" w:cs="Arial"/>
          <w:sz w:val="15"/>
          <w:szCs w:val="15"/>
        </w:rPr>
        <w:t>–</w:t>
      </w:r>
      <w:r>
        <w:rPr>
          <w:rFonts w:ascii="Times New Roman" w:hAnsi="Times New Roman" w:cs="Times New Roman"/>
          <w:sz w:val="15"/>
          <w:szCs w:val="15"/>
        </w:rPr>
        <w:t xml:space="preserve">387. </w:t>
      </w:r>
    </w:p>
    <w:p w:rsidR="008C5C5F" w:rsidRDefault="008C5C5F" w:rsidP="008C5C5F">
      <w:pPr>
        <w:widowControl w:val="0"/>
        <w:autoSpaceDE w:val="0"/>
        <w:autoSpaceDN w:val="0"/>
        <w:adjustRightInd w:val="0"/>
        <w:spacing w:after="0" w:line="41"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55" w:lineRule="auto"/>
        <w:ind w:left="660" w:hanging="260"/>
        <w:jc w:val="both"/>
        <w:rPr>
          <w:rFonts w:ascii="Times New Roman" w:hAnsi="Times New Roman" w:cs="Times New Roman"/>
          <w:sz w:val="15"/>
          <w:szCs w:val="15"/>
        </w:rPr>
      </w:pPr>
      <w:r>
        <w:rPr>
          <w:rFonts w:ascii="Times New Roman" w:hAnsi="Times New Roman" w:cs="Times New Roman"/>
          <w:sz w:val="15"/>
          <w:szCs w:val="15"/>
        </w:rPr>
        <w:t>Oxelbark J, Gidlund P. Investigation of a tartaric acid-based linear polyam-ide and dimer as chiral selectors in liquid chromatography. Chirality 2005;17:79</w:t>
      </w:r>
      <w:r>
        <w:rPr>
          <w:rFonts w:ascii="Arial" w:hAnsi="Arial" w:cs="Arial"/>
          <w:sz w:val="15"/>
          <w:szCs w:val="15"/>
        </w:rPr>
        <w:t>–</w:t>
      </w:r>
      <w:r>
        <w:rPr>
          <w:rFonts w:ascii="Times New Roman" w:hAnsi="Times New Roman" w:cs="Times New Roman"/>
          <w:sz w:val="15"/>
          <w:szCs w:val="15"/>
        </w:rPr>
        <w:t xml:space="preserve">84. </w:t>
      </w:r>
    </w:p>
    <w:p w:rsidR="008C5C5F" w:rsidRDefault="008C5C5F" w:rsidP="008C5C5F">
      <w:pPr>
        <w:widowControl w:val="0"/>
        <w:autoSpaceDE w:val="0"/>
        <w:autoSpaceDN w:val="0"/>
        <w:adjustRightInd w:val="0"/>
        <w:spacing w:after="0" w:line="30"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34" w:lineRule="auto"/>
        <w:ind w:left="660" w:hanging="260"/>
        <w:jc w:val="both"/>
        <w:rPr>
          <w:rFonts w:ascii="Times New Roman" w:hAnsi="Times New Roman" w:cs="Times New Roman"/>
          <w:sz w:val="15"/>
          <w:szCs w:val="15"/>
        </w:rPr>
      </w:pPr>
      <w:r>
        <w:rPr>
          <w:rFonts w:ascii="Times New Roman" w:hAnsi="Times New Roman" w:cs="Times New Roman"/>
          <w:sz w:val="15"/>
          <w:szCs w:val="15"/>
        </w:rPr>
        <w:t>Miller JN, Miller JC. Statistics and chemometrics for analytical chemistry, 5</w:t>
      </w:r>
      <w:r>
        <w:rPr>
          <w:rFonts w:ascii="Times New Roman" w:hAnsi="Times New Roman" w:cs="Times New Roman"/>
          <w:sz w:val="19"/>
          <w:szCs w:val="19"/>
          <w:vertAlign w:val="superscript"/>
        </w:rPr>
        <w:t>th</w:t>
      </w:r>
      <w:r>
        <w:rPr>
          <w:rFonts w:ascii="Times New Roman" w:hAnsi="Times New Roman" w:cs="Times New Roman"/>
          <w:sz w:val="15"/>
          <w:szCs w:val="15"/>
        </w:rPr>
        <w:t xml:space="preserve"> Ed. Pearson: Tottenham, UK; 2005. </w:t>
      </w:r>
    </w:p>
    <w:p w:rsidR="008C5C5F" w:rsidRDefault="008C5C5F" w:rsidP="008C5C5F">
      <w:pPr>
        <w:widowControl w:val="0"/>
        <w:autoSpaceDE w:val="0"/>
        <w:autoSpaceDN w:val="0"/>
        <w:adjustRightInd w:val="0"/>
        <w:spacing w:after="0" w:line="17"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62" w:lineRule="auto"/>
        <w:ind w:left="660" w:hanging="260"/>
        <w:jc w:val="both"/>
        <w:rPr>
          <w:rFonts w:ascii="Times New Roman" w:hAnsi="Times New Roman" w:cs="Times New Roman"/>
          <w:sz w:val="15"/>
          <w:szCs w:val="15"/>
        </w:rPr>
      </w:pPr>
      <w:r>
        <w:rPr>
          <w:rFonts w:ascii="Times New Roman" w:hAnsi="Times New Roman" w:cs="Times New Roman"/>
          <w:sz w:val="15"/>
          <w:szCs w:val="15"/>
        </w:rPr>
        <w:t xml:space="preserve">ICH guideline, Q2(R1). Validation of analytical procedures: text and methodology. London; 2005. </w:t>
      </w:r>
    </w:p>
    <w:p w:rsidR="008C5C5F" w:rsidRDefault="008C5C5F" w:rsidP="008C5C5F">
      <w:pPr>
        <w:widowControl w:val="0"/>
        <w:autoSpaceDE w:val="0"/>
        <w:autoSpaceDN w:val="0"/>
        <w:adjustRightInd w:val="0"/>
        <w:spacing w:after="0" w:line="23" w:lineRule="exact"/>
        <w:rPr>
          <w:rFonts w:ascii="Times New Roman" w:hAnsi="Times New Roman" w:cs="Times New Roman"/>
          <w:sz w:val="15"/>
          <w:szCs w:val="15"/>
        </w:rPr>
      </w:pPr>
    </w:p>
    <w:p w:rsidR="008C5C5F" w:rsidRDefault="008C5C5F" w:rsidP="008C5C5F">
      <w:pPr>
        <w:widowControl w:val="0"/>
        <w:numPr>
          <w:ilvl w:val="0"/>
          <w:numId w:val="2"/>
        </w:numPr>
        <w:tabs>
          <w:tab w:val="clear" w:pos="720"/>
          <w:tab w:val="num" w:pos="660"/>
        </w:tabs>
        <w:overflowPunct w:val="0"/>
        <w:autoSpaceDE w:val="0"/>
        <w:autoSpaceDN w:val="0"/>
        <w:adjustRightInd w:val="0"/>
        <w:spacing w:after="0" w:line="253" w:lineRule="auto"/>
        <w:ind w:left="660" w:hanging="260"/>
        <w:jc w:val="both"/>
        <w:rPr>
          <w:rFonts w:ascii="Times New Roman" w:hAnsi="Times New Roman" w:cs="Times New Roman"/>
          <w:sz w:val="15"/>
          <w:szCs w:val="15"/>
        </w:rPr>
      </w:pPr>
      <w:r>
        <w:rPr>
          <w:rFonts w:ascii="Times New Roman" w:hAnsi="Times New Roman" w:cs="Times New Roman"/>
          <w:sz w:val="15"/>
          <w:szCs w:val="15"/>
        </w:rPr>
        <w:t>Jantarat C, Tangthong C, Songkro S, Martin G, Suedee R. S-propranolol imprinted polymer nanoparticle-on-microsphere composite porous cellu-lose membrane for the enantioselectively controlled delivery of racemic propranolol. Int J Pharm 2008;349:212</w:t>
      </w:r>
      <w:r>
        <w:rPr>
          <w:rFonts w:ascii="Arial" w:hAnsi="Arial" w:cs="Arial"/>
          <w:sz w:val="15"/>
          <w:szCs w:val="15"/>
        </w:rPr>
        <w:t>–</w:t>
      </w:r>
      <w:r>
        <w:rPr>
          <w:rFonts w:ascii="Times New Roman" w:hAnsi="Times New Roman" w:cs="Times New Roman"/>
          <w:sz w:val="15"/>
          <w:szCs w:val="15"/>
        </w:rPr>
        <w:t xml:space="preserve">225. </w:t>
      </w:r>
    </w:p>
    <w:p w:rsidR="008C5C5F" w:rsidRDefault="008C5C5F" w:rsidP="008C5C5F">
      <w:pPr>
        <w:widowControl w:val="0"/>
        <w:autoSpaceDE w:val="0"/>
        <w:autoSpaceDN w:val="0"/>
        <w:adjustRightInd w:val="0"/>
        <w:spacing w:after="0" w:line="240" w:lineRule="auto"/>
        <w:rPr>
          <w:rFonts w:ascii="Times New Roman" w:hAnsi="Times New Roman" w:cs="Times New Roman"/>
          <w:sz w:val="24"/>
          <w:szCs w:val="24"/>
        </w:rPr>
      </w:pPr>
    </w:p>
    <w:p w:rsidR="008C5C5F" w:rsidRPr="00171EBD" w:rsidRDefault="008C5C5F"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4D4A62" w:rsidRPr="00171EBD" w:rsidRDefault="00CE6BDC" w:rsidP="006829C9">
      <w:pPr>
        <w:spacing w:after="0" w:line="240" w:lineRule="auto"/>
        <w:jc w:val="both"/>
        <w:rPr>
          <w:rFonts w:ascii="Times New Roman" w:eastAsia="Times New Roman" w:hAnsi="Times New Roman" w:cs="Times New Roman"/>
          <w:i/>
          <w:sz w:val="28"/>
          <w:szCs w:val="28"/>
          <w:lang w:eastAsia="en-IN"/>
        </w:rPr>
      </w:pPr>
      <w:r>
        <w:rPr>
          <w:rFonts w:ascii="Times New Roman" w:eastAsia="Times New Roman" w:hAnsi="Times New Roman" w:cs="Times New Roman"/>
          <w:i/>
          <w:sz w:val="28"/>
          <w:szCs w:val="28"/>
          <w:lang w:eastAsia="en-IN"/>
        </w:rPr>
        <w:t>Aymen_4120@hotmail.com</w:t>
      </w: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CE6BDC" w:rsidRDefault="00CE6BDC"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bookmarkStart w:id="0" w:name="_GoBack"/>
      <w:bookmarkEnd w:id="0"/>
    </w:p>
    <w:p w:rsidR="00CE6BDC" w:rsidRPr="00171EBD" w:rsidRDefault="00CE6BDC" w:rsidP="00CE6BDC">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00966505209837</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lastRenderedPageBreak/>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CBE" w:rsidRDefault="00212CBE" w:rsidP="004A0988">
      <w:pPr>
        <w:spacing w:after="0" w:line="240" w:lineRule="auto"/>
      </w:pPr>
      <w:r>
        <w:separator/>
      </w:r>
    </w:p>
  </w:endnote>
  <w:endnote w:type="continuationSeparator" w:id="0">
    <w:p w:rsidR="00212CBE" w:rsidRDefault="00212CBE"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briola">
    <w:panose1 w:val="04040605051002020D02"/>
    <w:charset w:val="00"/>
    <w:family w:val="decorative"/>
    <w:pitch w:val="variable"/>
    <w:sig w:usb0="E00002EF" w:usb1="50002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CBE" w:rsidRDefault="00212CBE" w:rsidP="004A0988">
      <w:pPr>
        <w:spacing w:after="0" w:line="240" w:lineRule="auto"/>
      </w:pPr>
      <w:r>
        <w:separator/>
      </w:r>
    </w:p>
  </w:footnote>
  <w:footnote w:type="continuationSeparator" w:id="0">
    <w:p w:rsidR="00212CBE" w:rsidRDefault="00212CBE" w:rsidP="004A09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6784"/>
    <w:multiLevelType w:val="hybridMultilevel"/>
    <w:tmpl w:val="00004AE1"/>
    <w:lvl w:ilvl="0" w:tplc="00003D6C">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171EBD"/>
    <w:rsid w:val="00212CBE"/>
    <w:rsid w:val="0033784D"/>
    <w:rsid w:val="004A0988"/>
    <w:rsid w:val="004B0551"/>
    <w:rsid w:val="004D4A62"/>
    <w:rsid w:val="005116CB"/>
    <w:rsid w:val="00664936"/>
    <w:rsid w:val="006829C9"/>
    <w:rsid w:val="007257BF"/>
    <w:rsid w:val="00835750"/>
    <w:rsid w:val="008C3271"/>
    <w:rsid w:val="008C5C5F"/>
    <w:rsid w:val="009A5A78"/>
    <w:rsid w:val="009E0CC5"/>
    <w:rsid w:val="00A3017E"/>
    <w:rsid w:val="00B163F7"/>
    <w:rsid w:val="00BE6CB1"/>
    <w:rsid w:val="00C643B3"/>
    <w:rsid w:val="00CE6BDC"/>
    <w:rsid w:val="00E91A65"/>
    <w:rsid w:val="00FC37D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character" w:styleId="Hyperlink">
    <w:name w:val="Hyperlink"/>
    <w:basedOn w:val="DefaultParagraphFont"/>
    <w:uiPriority w:val="99"/>
    <w:unhideWhenUsed/>
    <w:rsid w:val="008C5C5F"/>
    <w:rPr>
      <w:color w:val="2998E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men_4120@hot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AYMAN KHALID  AL SUWAILEM</cp:lastModifiedBy>
  <cp:revision>6</cp:revision>
  <dcterms:created xsi:type="dcterms:W3CDTF">2017-09-27T12:05:00Z</dcterms:created>
  <dcterms:modified xsi:type="dcterms:W3CDTF">2017-11-16T08:37:00Z</dcterms:modified>
</cp:coreProperties>
</file>