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color w:val="337AB7"/>
        </w:rPr>
      </w:pPr>
      <w:bookmarkStart w:id="0" w:name="OLE_LINK2"/>
      <w:bookmarkEnd w:id="0"/>
      <w:bookmarkStart w:id="1" w:name="OLE_LINK1"/>
      <w:bookmarkEnd w:id="1"/>
      <w:bookmarkStart w:id="2" w:name="OLE_LINK3"/>
      <w:bookmarkEnd w:id="2"/>
      <w:r>
        <w:rPr>
          <w:color w:val="337AB7"/>
        </w:rPr>
        <w:t>A comparative study of sagittal spinal-pelvic parameters between patients with adolescent idiopathic scoliosis and healthy controls</w:t>
      </w:r>
    </w:p>
    <w:p>
      <w:pPr>
        <w:pStyle w:val="5"/>
        <w:spacing w:before="73" w:line="198" w:lineRule="exact"/>
        <w:ind w:left="100" w:right="5987"/>
        <w:rPr>
          <w:rFonts w:hint="eastAsia" w:ascii="Arial"/>
          <w:lang w:val="en-US" w:eastAsia="zh-CN"/>
        </w:rPr>
      </w:pPr>
      <w:r>
        <w:rPr>
          <w:rFonts w:hint="eastAsia" w:ascii="Arial"/>
          <w:lang w:val="en-US" w:eastAsia="zh-CN"/>
        </w:rPr>
        <w:t>Cong Zhang1,</w:t>
      </w:r>
      <w:r>
        <w:rPr>
          <w:rFonts w:hint="default" w:ascii="Arial"/>
        </w:rPr>
        <w:t>Yunfeng Zhang</w:t>
      </w:r>
      <w:r>
        <w:rPr>
          <w:rFonts w:hint="eastAsia" w:ascii="Arial"/>
          <w:lang w:val="en-US" w:eastAsia="zh-CN"/>
        </w:rPr>
        <w:t>2,,</w:t>
      </w:r>
      <w:r>
        <w:rPr>
          <w:rFonts w:hint="default" w:ascii="Arial"/>
        </w:rPr>
        <w:t>Xiaohe Li</w:t>
      </w:r>
      <w:r>
        <w:rPr>
          <w:rFonts w:hint="eastAsia" w:ascii="Arial"/>
          <w:lang w:val="en-US" w:eastAsia="zh-CN"/>
        </w:rPr>
        <w:t>1</w:t>
      </w:r>
    </w:p>
    <w:p>
      <w:pPr>
        <w:pStyle w:val="5"/>
        <w:spacing w:before="73" w:line="198" w:lineRule="exact"/>
        <w:ind w:left="100" w:right="5987"/>
        <w:rPr>
          <w:rFonts w:ascii="Arial"/>
        </w:rPr>
      </w:pPr>
    </w:p>
    <w:p>
      <w:pPr>
        <w:pStyle w:val="5"/>
        <w:spacing w:before="73" w:line="198" w:lineRule="exact"/>
        <w:ind w:left="100" w:right="5987"/>
        <w:rPr>
          <w:rFonts w:hint="default" w:ascii="Arial"/>
        </w:rPr>
      </w:pPr>
      <w:r>
        <w:rPr>
          <w:rFonts w:hint="default" w:ascii="Arial"/>
        </w:rPr>
        <w:t xml:space="preserve">Inner Mongolia Medical University, Inner Mongolia ,Huhhot010010，P.R. China </w:t>
      </w:r>
    </w:p>
    <w:p>
      <w:pPr>
        <w:pStyle w:val="5"/>
        <w:spacing w:before="73" w:line="198" w:lineRule="exact"/>
        <w:ind w:left="100" w:right="5987"/>
        <w:rPr>
          <w:rFonts w:hint="default" w:ascii="Arial"/>
        </w:rPr>
      </w:pPr>
      <w:r>
        <w:rPr>
          <w:rFonts w:hint="default" w:ascii="Arial"/>
        </w:rPr>
        <w:t>Department of CT center, The second affiliated hospital of Inner Mongolia Medical University，Huhhot 010110,Inner Mongolia, P.R.China</w:t>
      </w: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pPr>
      <w:r>
        <w:rPr>
          <w:color w:val="BF5A14"/>
        </w:rPr>
        <w:t>Abstract (300 word limit)</w:t>
      </w:r>
    </w:p>
    <w:p>
      <w:pPr>
        <w:spacing w:line="360" w:lineRule="auto"/>
        <w:rPr>
          <w:rFonts w:ascii="Times New Roman" w:hAnsi="Times New Roman"/>
          <w:sz w:val="24"/>
          <w:szCs w:val="24"/>
        </w:rPr>
      </w:pPr>
      <w:r>
        <w:t xml:space="preserve">Statement of the Problem: </w:t>
      </w:r>
      <w:r>
        <w:rPr>
          <w:rFonts w:ascii="Times New Roman" w:hAnsi="Times New Roman"/>
          <w:sz w:val="24"/>
          <w:szCs w:val="24"/>
        </w:rPr>
        <w:t xml:space="preserve">This study aimed to investigate the sagittal spinal-pelvic morphological changes, as well as the relationship between pelvic anatomical changes and the spinal-pelvic plane in patients with adolescent idiopathic scoliosis (AIS), in order to provide guidelines for orthopedic surgery in AIS. </w:t>
      </w:r>
      <w:r>
        <w:rPr>
          <w:rFonts w:ascii="Times New Roman" w:hAnsi="Times New Roman"/>
          <w:b/>
          <w:sz w:val="24"/>
          <w:szCs w:val="24"/>
        </w:rPr>
        <w:t>Methods:</w:t>
      </w:r>
      <w:r>
        <w:rPr>
          <w:rFonts w:ascii="Times New Roman" w:hAnsi="Times New Roman"/>
          <w:sz w:val="24"/>
          <w:szCs w:val="24"/>
        </w:rPr>
        <w:t xml:space="preserve"> X-ray data were collected for retrospective analysis from 30 patients diagnosed as AIS  from April 2014 to November 2018, along with 30 normal adolescents as control. Pelvic parameters, including pelvic incidence (PI), pelvic tilt (PT), and sacral slope (SS), a spinal parameter, lumbar lordosis (LL), and anatomical parameters, including sacral width (SW) and femoral head- sacrum distance (FH-S), were measured.AIS affects some of the sagittal spinal-pelvic parameters and anatomical parameters. In AIS, there is a significant correlation between the spinal-pelvic parameters, and the anatomical parameter is significantly correlated with multiple spinal-pelvic parameters. </w:t>
      </w:r>
    </w:p>
    <w:p>
      <w:pPr>
        <w:pStyle w:val="5"/>
        <w:spacing w:before="90" w:line="280" w:lineRule="auto"/>
        <w:ind w:left="100"/>
        <w:jc w:val="both"/>
      </w:pPr>
    </w:p>
    <w:p>
      <w:pPr>
        <w:pStyle w:val="4"/>
        <w:spacing w:before="74"/>
      </w:pPr>
      <w:r>
        <w:rPr>
          <w:b w:val="0"/>
        </w:rPr>
        <w:br w:type="column"/>
      </w:r>
      <w:r>
        <w:rPr>
          <w:color w:val="BF5A14"/>
        </w:rPr>
        <w:t>Image</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2055495" cy="2509520"/>
            <wp:effectExtent l="0" t="0" r="1905" b="508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6"/>
                    <a:stretch>
                      <a:fillRect/>
                    </a:stretch>
                  </pic:blipFill>
                  <pic:spPr>
                    <a:xfrm>
                      <a:off x="0" y="0"/>
                      <a:ext cx="2055495" cy="2509520"/>
                    </a:xfrm>
                    <a:prstGeom prst="rect">
                      <a:avLst/>
                    </a:prstGeom>
                    <a:noFill/>
                    <a:ln w="9525">
                      <a:noFill/>
                    </a:ln>
                  </pic:spPr>
                </pic:pic>
              </a:graphicData>
            </a:graphic>
          </wp:inline>
        </w:drawing>
      </w:r>
    </w:p>
    <w:p>
      <w:pPr>
        <w:pStyle w:val="5"/>
        <w:spacing w:before="2"/>
        <w:rPr>
          <w:rFonts w:ascii="Arial"/>
          <w:b/>
          <w:sz w:val="16"/>
        </w:rPr>
      </w:pPr>
    </w:p>
    <w:p>
      <w:pPr>
        <w:spacing w:line="204" w:lineRule="exact"/>
        <w:rPr>
          <w:rFonts w:ascii="Arial"/>
          <w:b/>
          <w:sz w:val="20"/>
        </w:rPr>
      </w:pPr>
      <w:r>
        <w:rPr>
          <w:rFonts w:ascii="Arial"/>
          <w:b/>
          <w:color w:val="BF5A14"/>
          <w:sz w:val="20"/>
        </w:rPr>
        <w:br w:type="textWrapping"/>
      </w:r>
      <w:r>
        <w:rPr>
          <w:rFonts w:ascii="Arial"/>
          <w:b/>
          <w:color w:val="BF5A14"/>
          <w:sz w:val="20"/>
        </w:rPr>
        <w:t>Recent Publications (minimum 5)</w:t>
      </w:r>
    </w:p>
    <w:p>
      <w:pPr>
        <w:pStyle w:val="12"/>
        <w:numPr>
          <w:ilvl w:val="0"/>
          <w:numId w:val="1"/>
        </w:numPr>
        <w:tabs>
          <w:tab w:val="left" w:pos="384"/>
        </w:tabs>
        <w:spacing w:before="103" w:line="216" w:lineRule="exact"/>
        <w:ind w:right="138" w:hanging="283"/>
        <w:rPr>
          <w:rFonts w:hint="default"/>
          <w:sz w:val="18"/>
        </w:rPr>
      </w:pPr>
      <w:r>
        <w:rPr>
          <w:sz w:val="18"/>
        </w:rPr>
        <w:t>Xiaohe Li, Xing Wang, Shang Gao, He En, Yunfeng Zhang, Haiyan Wang, Yongqiang Cai, Zhiqiang Wang, Zhijun Li, Cong Zhang, Jierong Ma, Shaojie Zhang</w:t>
      </w:r>
      <w:r>
        <w:rPr>
          <w:rFonts w:hint="eastAsia"/>
          <w:sz w:val="18"/>
          <w:lang w:val="en-US" w:eastAsia="zh-CN"/>
        </w:rPr>
        <w:t>.（2009）</w:t>
      </w:r>
      <w:r>
        <w:rPr>
          <w:rFonts w:hint="default"/>
          <w:sz w:val="18"/>
        </w:rPr>
        <w:fldChar w:fldCharType="begin"/>
      </w:r>
      <w:r>
        <w:rPr>
          <w:rFonts w:hint="default"/>
          <w:sz w:val="18"/>
        </w:rPr>
        <w:instrText xml:space="preserve"> HYPERLINK "https://journals.viamedica.pl/folia_morphologica/article/view/FM.a2019.0009" </w:instrText>
      </w:r>
      <w:r>
        <w:rPr>
          <w:rFonts w:hint="default"/>
          <w:sz w:val="18"/>
        </w:rPr>
        <w:fldChar w:fldCharType="separate"/>
      </w:r>
      <w:r>
        <w:rPr>
          <w:rFonts w:hint="default"/>
          <w:sz w:val="18"/>
        </w:rPr>
        <w:t>Computed tomography measurement of the bone matrix of vertebral pedicle and its clinical significance</w:t>
      </w:r>
      <w:r>
        <w:rPr>
          <w:rFonts w:hint="default"/>
          <w:sz w:val="18"/>
        </w:rPr>
        <w:fldChar w:fldCharType="end"/>
      </w:r>
      <w:r>
        <w:rPr>
          <w:rFonts w:hint="eastAsia"/>
          <w:sz w:val="18"/>
          <w:lang w:val="en-US" w:eastAsia="zh-CN"/>
        </w:rPr>
        <w:t>.</w:t>
      </w:r>
      <w:r>
        <w:rPr>
          <w:rFonts w:hint="default"/>
          <w:sz w:val="18"/>
        </w:rPr>
        <w:t>Folia Morphologica</w:t>
      </w:r>
      <w:r>
        <w:rPr>
          <w:rFonts w:hint="eastAsia"/>
          <w:sz w:val="18"/>
          <w:lang w:eastAsia="zh-CN"/>
        </w:rPr>
        <w:t>，</w:t>
      </w:r>
      <w:r>
        <w:rPr>
          <w:rFonts w:hint="default"/>
          <w:sz w:val="18"/>
          <w:lang w:val="en-US" w:eastAsia="zh-CN"/>
        </w:rPr>
        <w:t>DOI: 10.5603/FM.a2019.0009</w:t>
      </w:r>
    </w:p>
    <w:p>
      <w:pPr>
        <w:pStyle w:val="12"/>
        <w:numPr>
          <w:ilvl w:val="0"/>
          <w:numId w:val="1"/>
        </w:numPr>
        <w:tabs>
          <w:tab w:val="left" w:pos="384"/>
        </w:tabs>
        <w:spacing w:before="103" w:line="216" w:lineRule="exact"/>
        <w:ind w:right="138" w:hanging="283"/>
        <w:rPr>
          <w:rFonts w:hint="eastAsia"/>
          <w:sz w:val="18"/>
        </w:rPr>
      </w:pPr>
      <w:r>
        <w:rPr>
          <w:rFonts w:hint="eastAsia"/>
          <w:sz w:val="18"/>
        </w:rPr>
        <w:fldChar w:fldCharType="begin"/>
      </w:r>
      <w:r>
        <w:rPr>
          <w:rFonts w:hint="eastAsia"/>
          <w:sz w:val="18"/>
        </w:rPr>
        <w:instrText xml:space="preserve"> HYPERLINK "http://www.ncbi.nlm.nih.gov/pubmed?term=Li%20XH%5BAuthor%5D&amp;cauthor=true&amp;cauthor_uid=21162516" </w:instrText>
      </w:r>
      <w:r>
        <w:rPr>
          <w:rFonts w:hint="eastAsia"/>
          <w:sz w:val="18"/>
        </w:rPr>
        <w:fldChar w:fldCharType="separate"/>
      </w:r>
      <w:r>
        <w:rPr>
          <w:rFonts w:hint="eastAsia"/>
          <w:sz w:val="18"/>
        </w:rPr>
        <w:t>Li XH</w:t>
      </w:r>
      <w:r>
        <w:rPr>
          <w:rFonts w:hint="eastAsia"/>
          <w:sz w:val="18"/>
        </w:rPr>
        <w:fldChar w:fldCharType="end"/>
      </w:r>
      <w:r>
        <w:rPr>
          <w:rFonts w:hint="eastAsia"/>
          <w:sz w:val="18"/>
        </w:rPr>
        <w:t xml:space="preserve">, </w:t>
      </w:r>
      <w:r>
        <w:rPr>
          <w:rFonts w:hint="eastAsia"/>
          <w:sz w:val="18"/>
        </w:rPr>
        <w:fldChar w:fldCharType="begin"/>
      </w:r>
      <w:r>
        <w:rPr>
          <w:rFonts w:hint="eastAsia"/>
          <w:sz w:val="18"/>
        </w:rPr>
        <w:instrText xml:space="preserve"> HYPERLINK "http://www.ncbi.nlm.nih.gov/pubmed?term=Xu%20DC%5BAuthor%5D&amp;cauthor=true&amp;cauthor_uid=21162516" </w:instrText>
      </w:r>
      <w:r>
        <w:rPr>
          <w:rFonts w:hint="eastAsia"/>
          <w:sz w:val="18"/>
        </w:rPr>
        <w:fldChar w:fldCharType="separate"/>
      </w:r>
      <w:r>
        <w:rPr>
          <w:rFonts w:hint="eastAsia"/>
          <w:sz w:val="18"/>
        </w:rPr>
        <w:t>Xu DC</w:t>
      </w:r>
      <w:r>
        <w:rPr>
          <w:rFonts w:hint="eastAsia"/>
          <w:sz w:val="18"/>
        </w:rPr>
        <w:fldChar w:fldCharType="end"/>
      </w:r>
      <w:r>
        <w:rPr>
          <w:rFonts w:hint="eastAsia"/>
          <w:sz w:val="18"/>
        </w:rPr>
        <w:t xml:space="preserve">, </w:t>
      </w:r>
      <w:r>
        <w:rPr>
          <w:rFonts w:hint="eastAsia"/>
          <w:sz w:val="18"/>
        </w:rPr>
        <w:fldChar w:fldCharType="begin"/>
      </w:r>
      <w:r>
        <w:rPr>
          <w:rFonts w:hint="eastAsia"/>
          <w:sz w:val="18"/>
        </w:rPr>
        <w:instrText xml:space="preserve"> HYPERLINK "http://www.ncbi.nlm.nih.gov/pubmed?term=Li%20ZJ%5BAuthor%5D&amp;cauthor=true&amp;cauthor_uid=21162516" </w:instrText>
      </w:r>
      <w:r>
        <w:rPr>
          <w:rFonts w:hint="eastAsia"/>
          <w:sz w:val="18"/>
        </w:rPr>
        <w:fldChar w:fldCharType="separate"/>
      </w:r>
      <w:r>
        <w:rPr>
          <w:rFonts w:hint="eastAsia"/>
          <w:sz w:val="18"/>
        </w:rPr>
        <w:t>Li ZJ</w:t>
      </w:r>
      <w:r>
        <w:rPr>
          <w:rFonts w:hint="eastAsia"/>
          <w:sz w:val="18"/>
        </w:rPr>
        <w:fldChar w:fldCharType="end"/>
      </w:r>
      <w:r>
        <w:rPr>
          <w:rFonts w:hint="eastAsia"/>
          <w:sz w:val="18"/>
        </w:rPr>
        <w:t xml:space="preserve">, </w:t>
      </w:r>
      <w:r>
        <w:rPr>
          <w:rFonts w:hint="eastAsia"/>
          <w:sz w:val="18"/>
        </w:rPr>
        <w:fldChar w:fldCharType="begin"/>
      </w:r>
      <w:r>
        <w:rPr>
          <w:rFonts w:hint="eastAsia"/>
          <w:sz w:val="18"/>
        </w:rPr>
        <w:instrText xml:space="preserve"> HYPERLINK "http://www.ncbi.nlm.nih.gov/pubmed?term=Wang%20X%5BAuthor%5D&amp;cauthor=true&amp;cauthor_uid=21162516" </w:instrText>
      </w:r>
      <w:r>
        <w:rPr>
          <w:rFonts w:hint="eastAsia"/>
          <w:sz w:val="18"/>
        </w:rPr>
        <w:fldChar w:fldCharType="separate"/>
      </w:r>
      <w:r>
        <w:rPr>
          <w:rFonts w:hint="eastAsia"/>
          <w:sz w:val="18"/>
        </w:rPr>
        <w:t>Wang X</w:t>
      </w:r>
      <w:r>
        <w:rPr>
          <w:rFonts w:hint="eastAsia"/>
          <w:sz w:val="18"/>
        </w:rPr>
        <w:fldChar w:fldCharType="end"/>
      </w:r>
      <w:r>
        <w:rPr>
          <w:rFonts w:hint="eastAsia"/>
          <w:sz w:val="18"/>
        </w:rPr>
        <w:t xml:space="preserve">, </w:t>
      </w:r>
      <w:r>
        <w:rPr>
          <w:rFonts w:hint="eastAsia"/>
          <w:sz w:val="18"/>
        </w:rPr>
        <w:fldChar w:fldCharType="begin"/>
      </w:r>
      <w:r>
        <w:rPr>
          <w:rFonts w:hint="eastAsia"/>
          <w:sz w:val="18"/>
        </w:rPr>
        <w:instrText xml:space="preserve"> HYPERLINK "http://www.ncbi.nlm.nih.gov/pubmed?term=You%20B%5BAuthor%5D&amp;cauthor=true&amp;cauthor_uid=21162516" </w:instrText>
      </w:r>
      <w:r>
        <w:rPr>
          <w:rFonts w:hint="eastAsia"/>
          <w:sz w:val="18"/>
        </w:rPr>
        <w:fldChar w:fldCharType="separate"/>
      </w:r>
      <w:r>
        <w:rPr>
          <w:rFonts w:hint="eastAsia"/>
          <w:sz w:val="18"/>
        </w:rPr>
        <w:t>You B</w:t>
      </w:r>
      <w:r>
        <w:rPr>
          <w:rFonts w:hint="eastAsia"/>
          <w:sz w:val="18"/>
        </w:rPr>
        <w:fldChar w:fldCharType="end"/>
      </w:r>
      <w:r>
        <w:rPr>
          <w:rFonts w:hint="eastAsia" w:eastAsia="宋体"/>
          <w:sz w:val="18"/>
          <w:lang w:eastAsia="zh-CN"/>
        </w:rPr>
        <w:t>（</w:t>
      </w:r>
      <w:r>
        <w:rPr>
          <w:rFonts w:hint="eastAsia" w:eastAsia="宋体"/>
          <w:sz w:val="18"/>
          <w:lang w:val="en-US" w:eastAsia="zh-CN"/>
        </w:rPr>
        <w:t>2010</w:t>
      </w:r>
      <w:r>
        <w:rPr>
          <w:rFonts w:hint="eastAsia" w:eastAsia="宋体"/>
          <w:sz w:val="18"/>
          <w:lang w:eastAsia="zh-CN"/>
        </w:rPr>
        <w:t>）</w:t>
      </w:r>
      <w:r>
        <w:rPr>
          <w:rFonts w:hint="eastAsia"/>
          <w:sz w:val="18"/>
        </w:rPr>
        <w:t>An anatomical study in a Chinese population of the position of the rib head for placing anterior vertebral body screws,</w:t>
      </w:r>
      <w:r>
        <w:rPr>
          <w:rFonts w:hint="eastAsia"/>
          <w:sz w:val="18"/>
        </w:rPr>
        <w:fldChar w:fldCharType="begin"/>
      </w:r>
      <w:r>
        <w:rPr>
          <w:rFonts w:hint="eastAsia"/>
          <w:sz w:val="18"/>
        </w:rPr>
        <w:instrText xml:space="preserve"> HYPERLINK "http://www.ncbi.nlm.nih.gov/pubmed/21162516" \l "#" \o "Orthopedics." </w:instrText>
      </w:r>
      <w:r>
        <w:rPr>
          <w:rFonts w:hint="eastAsia"/>
          <w:sz w:val="18"/>
        </w:rPr>
        <w:fldChar w:fldCharType="separate"/>
      </w:r>
      <w:r>
        <w:rPr>
          <w:rFonts w:hint="eastAsia"/>
          <w:sz w:val="18"/>
        </w:rPr>
        <w:t>Orthopedics.</w:t>
      </w:r>
      <w:r>
        <w:rPr>
          <w:rFonts w:hint="eastAsia"/>
          <w:sz w:val="18"/>
        </w:rPr>
        <w:fldChar w:fldCharType="end"/>
      </w:r>
      <w:r>
        <w:rPr>
          <w:rFonts w:hint="eastAsia"/>
          <w:sz w:val="18"/>
        </w:rPr>
        <w:t xml:space="preserve">33(12): 884. </w:t>
      </w:r>
    </w:p>
    <w:p>
      <w:pPr>
        <w:pStyle w:val="12"/>
        <w:numPr>
          <w:ilvl w:val="0"/>
          <w:numId w:val="1"/>
        </w:numPr>
        <w:tabs>
          <w:tab w:val="left" w:pos="384"/>
        </w:tabs>
        <w:spacing w:before="103" w:line="216" w:lineRule="exact"/>
        <w:ind w:right="138" w:hanging="283"/>
        <w:rPr>
          <w:rFonts w:hint="default"/>
          <w:sz w:val="18"/>
          <w:lang w:val="en-US" w:eastAsia="zh-CN"/>
        </w:rPr>
      </w:pPr>
      <w:r>
        <w:rPr>
          <w:rFonts w:hint="eastAsia"/>
          <w:sz w:val="18"/>
          <w:lang w:val="en-US" w:eastAsia="zh-CN"/>
        </w:rPr>
        <w:t>.</w:t>
      </w:r>
      <w:r>
        <w:rPr>
          <w:rFonts w:hint="default"/>
          <w:sz w:val="18"/>
          <w:lang w:val="en-US" w:eastAsia="zh-CN"/>
        </w:rPr>
        <w:t>Xiaohe Li, He En, Yunfeng Zhang, Shang Gao, Guimin Li, Yu Guo, Xin Wang, Haiyan Wang, Yongqiang Cai, Zhiqiang Wang, Zhijun Li, Cunbao Li, Feifei Zhao.</w:t>
      </w:r>
      <w:r>
        <w:rPr>
          <w:rFonts w:hint="eastAsia"/>
          <w:sz w:val="18"/>
          <w:lang w:val="en-US" w:eastAsia="zh-CN"/>
        </w:rPr>
        <w:t>（</w:t>
      </w:r>
      <w:r>
        <w:rPr>
          <w:rFonts w:hint="default"/>
          <w:sz w:val="18"/>
          <w:lang w:val="en-US" w:eastAsia="zh-CN"/>
        </w:rPr>
        <w:t>2016</w:t>
      </w:r>
      <w:r>
        <w:rPr>
          <w:rFonts w:hint="eastAsia"/>
          <w:sz w:val="18"/>
          <w:lang w:val="en-US" w:eastAsia="zh-CN"/>
        </w:rPr>
        <w:t>）</w:t>
      </w:r>
      <w:r>
        <w:rPr>
          <w:rFonts w:hint="default"/>
          <w:sz w:val="18"/>
          <w:lang w:val="en-US" w:eastAsia="zh-CN"/>
        </w:rPr>
        <w:t>Digital Anatomical Measurement for Anterolateral Fixation of Middle and Lower Thoracic Vertebrae</w:t>
      </w:r>
      <w:r>
        <w:rPr>
          <w:rFonts w:hint="eastAsia"/>
          <w:sz w:val="18"/>
          <w:lang w:val="en-US" w:eastAsia="zh-CN"/>
        </w:rPr>
        <w:t>,</w:t>
      </w:r>
      <w:r>
        <w:rPr>
          <w:rFonts w:hint="default"/>
          <w:sz w:val="18"/>
          <w:lang w:val="en-US" w:eastAsia="zh-CN"/>
        </w:rPr>
        <w:t>medical science monitor</w:t>
      </w:r>
      <w:r>
        <w:rPr>
          <w:rFonts w:hint="eastAsia"/>
          <w:sz w:val="18"/>
          <w:lang w:val="en-US" w:eastAsia="zh-CN"/>
        </w:rPr>
        <w:t>,</w:t>
      </w:r>
      <w:r>
        <w:rPr>
          <w:rFonts w:hint="default"/>
          <w:sz w:val="18"/>
          <w:lang w:val="en-US" w:eastAsia="zh-CN"/>
        </w:rPr>
        <w:t>22</w:t>
      </w:r>
      <w:r>
        <w:rPr>
          <w:rFonts w:hint="eastAsia"/>
          <w:sz w:val="18"/>
          <w:lang w:val="en-US" w:eastAsia="zh-CN"/>
        </w:rPr>
        <w:t>:</w:t>
      </w:r>
      <w:r>
        <w:rPr>
          <w:rFonts w:hint="default"/>
          <w:sz w:val="18"/>
          <w:lang w:val="en-US" w:eastAsia="zh-CN"/>
        </w:rPr>
        <w:t>5021-5027</w:t>
      </w:r>
      <w:r>
        <w:rPr>
          <w:rFonts w:hint="eastAsia"/>
          <w:sz w:val="18"/>
          <w:lang w:val="en-US" w:eastAsia="zh-CN"/>
        </w:rPr>
        <w:t>.</w:t>
      </w:r>
    </w:p>
    <w:p>
      <w:pPr>
        <w:pStyle w:val="12"/>
        <w:numPr>
          <w:ilvl w:val="0"/>
          <w:numId w:val="1"/>
        </w:numPr>
        <w:tabs>
          <w:tab w:val="left" w:pos="384"/>
        </w:tabs>
        <w:spacing w:before="103" w:line="216" w:lineRule="exact"/>
        <w:ind w:right="138" w:hanging="283"/>
        <w:rPr>
          <w:rFonts w:hint="eastAsia"/>
          <w:sz w:val="18"/>
          <w:lang w:val="en-US" w:eastAsia="zh-CN"/>
        </w:rPr>
      </w:pPr>
      <w:r>
        <w:rPr>
          <w:rFonts w:hint="default"/>
          <w:sz w:val="18"/>
          <w:lang w:val="en-US" w:eastAsia="zh-CN"/>
        </w:rPr>
        <w:t>LI, X. H.</w:t>
      </w:r>
      <w:r>
        <w:rPr>
          <w:rFonts w:hint="eastAsia"/>
          <w:sz w:val="18"/>
          <w:lang w:val="en-US" w:eastAsia="zh-CN"/>
        </w:rPr>
        <w:t>,</w:t>
      </w:r>
      <w:r>
        <w:rPr>
          <w:rFonts w:hint="default"/>
          <w:sz w:val="18"/>
          <w:lang w:val="en-US" w:eastAsia="zh-CN"/>
        </w:rPr>
        <w:t xml:space="preserve"> CAI, Y. Q.</w:t>
      </w:r>
      <w:r>
        <w:rPr>
          <w:rFonts w:hint="eastAsia"/>
          <w:sz w:val="18"/>
          <w:lang w:val="en-US" w:eastAsia="zh-CN"/>
        </w:rPr>
        <w:t>,</w:t>
      </w:r>
      <w:r>
        <w:rPr>
          <w:rFonts w:hint="default"/>
          <w:sz w:val="18"/>
          <w:lang w:val="en-US" w:eastAsia="zh-CN"/>
        </w:rPr>
        <w:t>WANG, X.</w:t>
      </w:r>
      <w:r>
        <w:rPr>
          <w:rFonts w:hint="eastAsia"/>
          <w:sz w:val="18"/>
          <w:lang w:val="en-US" w:eastAsia="zh-CN"/>
        </w:rPr>
        <w:t>,</w:t>
      </w:r>
      <w:r>
        <w:rPr>
          <w:rFonts w:hint="default"/>
          <w:sz w:val="18"/>
          <w:lang w:val="en-US" w:eastAsia="zh-CN"/>
        </w:rPr>
        <w:t xml:space="preserve"> GAO, S. &amp; LI, Z. J. </w:t>
      </w:r>
      <w:r>
        <w:rPr>
          <w:rFonts w:hint="eastAsia"/>
          <w:sz w:val="18"/>
          <w:lang w:val="en-US" w:eastAsia="zh-CN"/>
        </w:rPr>
        <w:t>（</w:t>
      </w:r>
      <w:r>
        <w:rPr>
          <w:rFonts w:hint="default"/>
          <w:sz w:val="18"/>
          <w:lang w:val="en-US" w:eastAsia="zh-CN"/>
        </w:rPr>
        <w:t>2014</w:t>
      </w:r>
      <w:r>
        <w:rPr>
          <w:rFonts w:hint="eastAsia"/>
          <w:sz w:val="18"/>
          <w:lang w:val="en-US" w:eastAsia="zh-CN"/>
        </w:rPr>
        <w:t>）</w:t>
      </w:r>
      <w:r>
        <w:rPr>
          <w:rFonts w:hint="default"/>
          <w:sz w:val="18"/>
          <w:lang w:val="en-US" w:eastAsia="zh-CN"/>
        </w:rPr>
        <w:t>Anatomical characteristics of infra-lamina ridge in Chinese population. Int. J. Morphol.,</w:t>
      </w:r>
      <w:r>
        <w:rPr>
          <w:rFonts w:hint="eastAsia"/>
          <w:sz w:val="18"/>
          <w:lang w:val="en-US" w:eastAsia="zh-CN"/>
        </w:rPr>
        <w:t>,</w:t>
      </w:r>
      <w:r>
        <w:rPr>
          <w:rFonts w:hint="default"/>
          <w:sz w:val="18"/>
          <w:lang w:val="en-US" w:eastAsia="zh-CN"/>
        </w:rPr>
        <w:t>32(2):583-588</w:t>
      </w:r>
      <w:r>
        <w:rPr>
          <w:rFonts w:hint="eastAsia"/>
          <w:sz w:val="18"/>
          <w:lang w:val="en-US" w:eastAsia="zh-CN"/>
        </w:rPr>
        <w:t>.</w:t>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5"/>
        <w:rPr>
          <w:rFonts w:ascii="Calibri"/>
          <w:b/>
          <w:sz w:val="20"/>
        </w:rPr>
      </w:pPr>
      <w:r>
        <w:rPr>
          <w:rFonts w:ascii="Calibri"/>
          <w:sz w:val="20"/>
        </w:rPr>
        <w:t xml:space="preserve">                 </w:t>
      </w:r>
      <w:r>
        <w:rPr>
          <w:rFonts w:ascii="Calibri"/>
          <w:b/>
          <w:sz w:val="20"/>
        </w:rPr>
        <w:t>Photograph</w:t>
      </w:r>
    </w:p>
    <w:p>
      <w:pPr>
        <w:pStyle w:val="5"/>
        <w:spacing w:line="40" w:lineRule="exact"/>
        <w:ind w:left="2202"/>
        <w:rPr>
          <w:rFonts w:ascii="Calibri"/>
          <w:sz w:val="4"/>
        </w:rPr>
      </w:pPr>
      <w:r>
        <w:rPr>
          <w:rFonts w:ascii="Calibri"/>
          <w:sz w:val="4"/>
          <w:lang w:val="en-IN" w:eastAsia="en-IN"/>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Arial"/>
        </w:rPr>
      </w:pPr>
      <w:r>
        <w:t xml:space="preserve">              </w:t>
      </w:r>
      <w:r>
        <w:rPr>
          <w:rFonts w:hint="eastAsia" w:eastAsia="仿宋_GB2312"/>
          <w:lang w:eastAsia="zh-CN"/>
        </w:rPr>
        <w:drawing>
          <wp:inline distT="0" distB="0" distL="114300" distR="114300">
            <wp:extent cx="678815" cy="810895"/>
            <wp:effectExtent l="0" t="0" r="6985" b="8255"/>
            <wp:docPr id="1" name="图片 1" descr="QQ图片2019091709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图片20190917091955"/>
                    <pic:cNvPicPr>
                      <a:picLocks noChangeAspect="1"/>
                    </pic:cNvPicPr>
                  </pic:nvPicPr>
                  <pic:blipFill>
                    <a:blip r:embed="rId7"/>
                    <a:stretch>
                      <a:fillRect/>
                    </a:stretch>
                  </pic:blipFill>
                  <pic:spPr>
                    <a:xfrm>
                      <a:off x="0" y="0"/>
                      <a:ext cx="678815" cy="810895"/>
                    </a:xfrm>
                    <a:prstGeom prst="rect">
                      <a:avLst/>
                    </a:prstGeom>
                  </pic:spPr>
                </pic:pic>
              </a:graphicData>
            </a:graphic>
          </wp:inline>
        </w:drawing>
      </w:r>
      <w:r>
        <w:rPr>
          <w:rFonts w:ascii="Arial"/>
          <w:color w:val="BF5A14"/>
        </w:rPr>
        <w:t>Biography (150 word limit)</w:t>
      </w:r>
      <w:bookmarkStart w:id="3" w:name="_GoBack"/>
      <w:bookmarkEnd w:id="3"/>
    </w:p>
    <w:p>
      <w:pPr>
        <w:pStyle w:val="5"/>
        <w:spacing w:before="3"/>
        <w:rPr>
          <w:rFonts w:ascii="Minion Pro"/>
          <w:sz w:val="26"/>
        </w:rPr>
      </w:pPr>
      <w:r>
        <w:rPr>
          <w:rFonts w:ascii="Arial" w:hAnsi="Arial" w:eastAsia="宋体" w:cs="Arial"/>
          <w:b w:val="0"/>
          <w:i w:val="0"/>
          <w:caps w:val="0"/>
          <w:color w:val="333333"/>
          <w:spacing w:val="0"/>
          <w:sz w:val="21"/>
          <w:szCs w:val="21"/>
          <w:shd w:val="clear" w:fill="F7F8FA"/>
        </w:rPr>
        <w:t>Li xiaohe: Ph.D., professor, supervisor of master's degree.</w:t>
      </w:r>
      <w:r>
        <w:rPr>
          <w:rFonts w:hint="default" w:ascii="Arial" w:hAnsi="Arial" w:eastAsia="宋体" w:cs="Arial"/>
          <w:b w:val="0"/>
          <w:i w:val="0"/>
          <w:caps w:val="0"/>
          <w:color w:val="333333"/>
          <w:spacing w:val="0"/>
          <w:sz w:val="21"/>
          <w:szCs w:val="21"/>
          <w:shd w:val="clear" w:fill="F7F8FA"/>
        </w:rPr>
        <w:t>Vice chairman and secretary general of Inner Mongolia anatomical society, standing director of Inner Mongolia digital translational medicine society, member of clinical anatomy branch of Chinese anatomical society, member of professional committee of physical anthropology, member of nursing anatomy branch.Editorial board member of the Chinese journal of clinical anatomy, the core journal of science and technology, the China medical journal and the journal of Inner Mongolia medical university;</w:t>
      </w:r>
    </w:p>
    <w:p>
      <w:pPr>
        <w:spacing w:before="62"/>
        <w:ind w:left="4217" w:right="4235"/>
        <w:jc w:val="center"/>
        <w:rPr>
          <w:rFonts w:ascii="Arial"/>
          <w:sz w:val="14"/>
        </w:rPr>
      </w:pPr>
      <w:r>
        <w:rPr>
          <w:rFonts w:ascii="Arial"/>
          <w:sz w:val="14"/>
        </w:rPr>
        <w:t xml:space="preserve">Email: </w:t>
      </w:r>
      <w:r>
        <w:fldChar w:fldCharType="begin"/>
      </w:r>
      <w:r>
        <w:instrText xml:space="preserve"> HYPERLINK "mailto:drXXXXXXX@xxxmail.com" </w:instrText>
      </w:r>
      <w:r>
        <w:fldChar w:fldCharType="separate"/>
      </w:r>
      <w:r>
        <w:rPr>
          <w:rStyle w:val="11"/>
          <w:rFonts w:ascii="Arial"/>
          <w:sz w:val="14"/>
        </w:rPr>
        <w:t>drXXXXXXX@xxxmail.com</w:t>
      </w:r>
      <w:r>
        <w:rPr>
          <w:rStyle w:val="11"/>
          <w:rFonts w:ascii="Arial"/>
          <w:sz w:val="14"/>
        </w:rPr>
        <w:fldChar w:fldCharType="end"/>
      </w:r>
    </w:p>
    <w:p>
      <w:pPr>
        <w:pStyle w:val="5"/>
        <w:spacing w:before="2"/>
        <w:rPr>
          <w:rFonts w:ascii="Arial"/>
          <w:sz w:val="19"/>
        </w:rPr>
      </w:pPr>
      <w:r>
        <w:rPr>
          <w:lang w:val="en-IN" w:eastAsia="en-IN"/>
        </w:rPr>
        <mc:AlternateContent>
          <mc:Choice Requires="wps">
            <w:drawing>
              <wp:anchor distT="0" distB="0" distL="0" distR="0" simplePos="0" relativeHeight="204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id="Line 3" o:spid="_x0000_s1026" o:spt="20" style="position:absolute;left:0pt;margin-left:162.1pt;margin-top:13.25pt;height:0pt;width:271.05pt;mso-position-horizontal-relative:page;mso-wrap-distance-bottom:0pt;mso-wrap-distance-top:0pt;z-index:204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OKUBv&#10;1gAAAAkBAAAPAAAAAAAAAAEAIAAAACIAAABkcnMvZG93bnJldi54bWxQSwECFAAUAAAACACHTuJA&#10;mnOm17EBAABSAwAADgAAAAAAAAABACAAAAAlAQAAZHJzL2Uyb0RvYy54bWxQSwUGAAAAAAYABgBZ&#10;AQAASAUAAAAA&#10;">
                <v:fill on="f" focussize="0,0"/>
                <v:stroke weight="0.5pt" color="#004080" joinstyle="round"/>
                <v:imagedata o:title=""/>
                <o:lock v:ext="edit" aspectratio="f"/>
                <w10:wrap type="topAndBottom"/>
              </v:line>
            </w:pict>
          </mc:Fallback>
        </mc:AlternateContent>
      </w:r>
    </w:p>
    <w:p>
      <w:pPr>
        <w:pStyle w:val="5"/>
        <w:rPr>
          <w:rFonts w:ascii="Arial"/>
          <w:sz w:val="20"/>
        </w:rPr>
      </w:pPr>
    </w:p>
    <w:p>
      <w:pPr>
        <w:pStyle w:val="5"/>
        <w:rPr>
          <w:rFonts w:ascii="Arial"/>
          <w:sz w:val="20"/>
        </w:rPr>
      </w:pPr>
    </w:p>
    <w:p>
      <w:pPr>
        <w:pStyle w:val="5"/>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Tw Cen MT">
    <w:panose1 w:val="020B0602020104020603"/>
    <w:charset w:val="00"/>
    <w:family w:val="swiss"/>
    <w:pitch w:val="default"/>
    <w:sig w:usb0="00000003" w:usb1="00000000" w:usb2="00000000" w:usb3="00000000" w:csb0="20000003" w:csb1="00000000"/>
  </w:font>
  <w:font w:name="Minion Pro">
    <w:altName w:val="Cambria Math"/>
    <w:panose1 w:val="00000000000000000000"/>
    <w:charset w:val="00"/>
    <w:family w:val="roman"/>
    <w:pitch w:val="default"/>
    <w:sig w:usb0="00000000" w:usb1="00000000" w:usb2="00000000" w:usb3="00000000" w:csb0="0000019F"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2FF" w:usb1="420024FF" w:usb2="00000000" w:usb3="00000000" w:csb0="2000019F" w:csb1="00000000"/>
  </w:font>
  <w:font w:name="Corbel">
    <w:panose1 w:val="020B0503020204020204"/>
    <w:charset w:val="00"/>
    <w:family w:val="auto"/>
    <w:pitch w:val="default"/>
    <w:sig w:usb0="A00002EF" w:usb1="4000A44B"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wps:txbx>
                    <wps:bodyPr rot="0" vert="horz" wrap="square" lIns="0" tIns="0" rIns="0" bIns="0" anchor="t" anchorCtr="0" upright="1">
                      <a:noAutofit/>
                    </wps:bodyPr>
                  </wps:wsp>
                </a:graphicData>
              </a:graphic>
            </wp:anchor>
          </w:drawing>
        </mc:Choice>
        <mc:Fallback>
          <w:pict>
            <v:shape id="Text Box 5" o:spid="_x0000_s1026" o:spt="202" type="#_x0000_t202" style="position:absolute;left:0pt;margin-left:416pt;margin-top:26.05pt;height:17.4pt;width:144.3pt;mso-position-horizontal-relative:page;mso-position-vertical-relative:page;z-index:-5120;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p1iuI2QAAAAoB&#10;AAAPAAAAAAAAAAEAIAAAACIAAABkcnMvZG93bnJldi54bWxQSwECFAAUAAAACACHTuJAWRO2/OEB&#10;AAC3AwAADgAAAAAAAAABACAAAAAoAQAAZHJzL2Uyb0RvYy54bWxQSwUGAAAAAAYABgBZAQAAewUA&#10;AAAA&#10;">
              <v:fill on="f" focussize="0,0"/>
              <v:stroke on="f"/>
              <v:imagedata o:title=""/>
              <o:lock v:ext="edit" aspectratio="f"/>
              <v:textbox inset="0mm,0mm,0mm,0mm">
                <w:txbxContent>
                  <w:p>
                    <w:pPr>
                      <w:spacing w:before="2" w:line="249" w:lineRule="auto"/>
                      <w:ind w:left="156" w:right="18" w:hanging="137"/>
                      <w:rPr>
                        <w:rFonts w:ascii="Arial"/>
                        <w:color w:val="FFFFFF" w:themeColor="background1"/>
                        <w:sz w:val="14"/>
                        <w14:textFill>
                          <w14:solidFill>
                            <w14:schemeClr w14:val="bg1"/>
                          </w14:solidFill>
                        </w14:textFill>
                      </w:rPr>
                    </w:pPr>
                    <w:r>
                      <w:rPr>
                        <w:rFonts w:ascii="Arial"/>
                        <w:color w:val="FFFFFF" w:themeColor="background1"/>
                        <w:sz w:val="14"/>
                        <w14:textFill>
                          <w14:solidFill>
                            <w14:schemeClr w14:val="bg1"/>
                          </w14:solidFill>
                        </w14:textFill>
                      </w:rPr>
                      <w:t xml:space="preserve">T Furuta et al., J Pai n Relief 2016, 5:3(Suppl) </w:t>
                    </w:r>
                    <w:r>
                      <w:fldChar w:fldCharType="begin"/>
                    </w:r>
                    <w:r>
                      <w:instrText xml:space="preserve"> HYPERLINK "http://dx.doi.org/10.4172/2167-0846.C1.006" \h </w:instrText>
                    </w:r>
                    <w:r>
                      <w:fldChar w:fldCharType="separate"/>
                    </w:r>
                    <w:r>
                      <w:rPr>
                        <w:rFonts w:ascii="Arial"/>
                        <w:color w:val="FFFFFF" w:themeColor="background1"/>
                        <w:sz w:val="14"/>
                        <w14:textFill>
                          <w14:solidFill>
                            <w14:schemeClr w14:val="bg1"/>
                          </w14:solidFill>
                        </w14:textFill>
                      </w:rPr>
                      <w:t>http://dx.doi.org/10.4172/2167-0846.C1.006</w:t>
                    </w:r>
                    <w:r>
                      <w:rPr>
                        <w:rFonts w:ascii="Arial"/>
                        <w:color w:val="FFFFFF" w:themeColor="background1"/>
                        <w:sz w:val="14"/>
                        <w14:textFill>
                          <w14:solidFill>
                            <w14:schemeClr w14:val="bg1"/>
                          </w14:solidFill>
                        </w14:textFill>
                      </w:rPr>
                      <w:fldChar w:fldCharType="end"/>
                    </w:r>
                  </w:p>
                </w:txbxContent>
              </v:textbox>
            </v:shape>
          </w:pict>
        </mc:Fallback>
      </mc:AlternateContent>
    </w:r>
    <w:r>
      <w:rPr>
        <w:lang w:val="en-IN" w:eastAsia="en-IN"/>
      </w:rP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tentative="0">
      <w:start w:val="1"/>
      <w:numFmt w:val="decimal"/>
      <w:lvlText w:val="%1."/>
      <w:lvlJc w:val="left"/>
      <w:pPr>
        <w:ind w:left="383" w:hanging="284"/>
      </w:pPr>
      <w:rPr>
        <w:rFonts w:hint="default" w:ascii="Calibri" w:hAnsi="Calibri" w:eastAsia="Calibri" w:cs="Calibri"/>
        <w:spacing w:val="-16"/>
        <w:w w:val="100"/>
        <w:sz w:val="18"/>
        <w:szCs w:val="18"/>
      </w:rPr>
    </w:lvl>
    <w:lvl w:ilvl="1" w:tentative="0">
      <w:start w:val="1"/>
      <w:numFmt w:val="bullet"/>
      <w:lvlText w:val="•"/>
      <w:lvlJc w:val="left"/>
      <w:pPr>
        <w:ind w:left="877" w:hanging="284"/>
      </w:pPr>
      <w:rPr>
        <w:rFonts w:hint="default"/>
      </w:rPr>
    </w:lvl>
    <w:lvl w:ilvl="2" w:tentative="0">
      <w:start w:val="1"/>
      <w:numFmt w:val="bullet"/>
      <w:lvlText w:val="•"/>
      <w:lvlJc w:val="left"/>
      <w:pPr>
        <w:ind w:left="1374" w:hanging="284"/>
      </w:pPr>
      <w:rPr>
        <w:rFonts w:hint="default"/>
      </w:rPr>
    </w:lvl>
    <w:lvl w:ilvl="3" w:tentative="0">
      <w:start w:val="1"/>
      <w:numFmt w:val="bullet"/>
      <w:lvlText w:val="•"/>
      <w:lvlJc w:val="left"/>
      <w:pPr>
        <w:ind w:left="1871" w:hanging="284"/>
      </w:pPr>
      <w:rPr>
        <w:rFonts w:hint="default"/>
      </w:rPr>
    </w:lvl>
    <w:lvl w:ilvl="4" w:tentative="0">
      <w:start w:val="1"/>
      <w:numFmt w:val="bullet"/>
      <w:lvlText w:val="•"/>
      <w:lvlJc w:val="left"/>
      <w:pPr>
        <w:ind w:left="2369" w:hanging="284"/>
      </w:pPr>
      <w:rPr>
        <w:rFonts w:hint="default"/>
      </w:rPr>
    </w:lvl>
    <w:lvl w:ilvl="5" w:tentative="0">
      <w:start w:val="1"/>
      <w:numFmt w:val="bullet"/>
      <w:lvlText w:val="•"/>
      <w:lvlJc w:val="left"/>
      <w:pPr>
        <w:ind w:left="2866" w:hanging="284"/>
      </w:pPr>
      <w:rPr>
        <w:rFonts w:hint="default"/>
      </w:rPr>
    </w:lvl>
    <w:lvl w:ilvl="6" w:tentative="0">
      <w:start w:val="1"/>
      <w:numFmt w:val="bullet"/>
      <w:lvlText w:val="•"/>
      <w:lvlJc w:val="left"/>
      <w:pPr>
        <w:ind w:left="3363" w:hanging="284"/>
      </w:pPr>
      <w:rPr>
        <w:rFonts w:hint="default"/>
      </w:rPr>
    </w:lvl>
    <w:lvl w:ilvl="7" w:tentative="0">
      <w:start w:val="1"/>
      <w:numFmt w:val="bullet"/>
      <w:lvlText w:val="•"/>
      <w:lvlJc w:val="left"/>
      <w:pPr>
        <w:ind w:left="3860" w:hanging="284"/>
      </w:pPr>
      <w:rPr>
        <w:rFonts w:hint="default"/>
      </w:rPr>
    </w:lvl>
    <w:lvl w:ilvl="8" w:tentative="0">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 w:val="7E5C72F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qFormat/>
    <w:uiPriority w:val="99"/>
    <w:rPr>
      <w:rFonts w:ascii="Tw Cen MT" w:hAnsi="Tw Cen MT" w:eastAsia="Tw Cen MT" w:cs="Tw Cen MT"/>
    </w:rPr>
  </w:style>
  <w:style w:type="character" w:customStyle="1" w:styleId="15">
    <w:name w:val="Footer Char"/>
    <w:basedOn w:val="10"/>
    <w:link w:val="7"/>
    <w:qFormat/>
    <w:uiPriority w:val="99"/>
    <w:rPr>
      <w:rFonts w:ascii="Tw Cen MT" w:hAnsi="Tw Cen MT" w:eastAsia="Tw Cen MT" w:cs="Tw Cen MT"/>
    </w:rPr>
  </w:style>
  <w:style w:type="character" w:customStyle="1" w:styleId="16">
    <w:name w:val="Balloon Text Char"/>
    <w:basedOn w:val="10"/>
    <w:link w:val="6"/>
    <w:semiHidden/>
    <w:uiPriority w:val="99"/>
    <w:rPr>
      <w:rFonts w:ascii="Tahoma" w:hAnsi="Tahoma" w:eastAsia="Tw Cen MT" w:cs="Tahoma"/>
      <w:sz w:val="16"/>
      <w:szCs w:val="16"/>
    </w:rPr>
  </w:style>
  <w:style w:type="character" w:customStyle="1" w:styleId="17">
    <w:name w:val="Body Text Char"/>
    <w:basedOn w:val="10"/>
    <w:link w:val="5"/>
    <w:qFormat/>
    <w:uiPriority w:val="1"/>
    <w:rPr>
      <w:rFonts w:ascii="Tw Cen MT" w:hAnsi="Tw Cen MT" w:eastAsia="Tw Cen MT" w:cs="Tw Cen MT"/>
      <w:sz w:val="18"/>
      <w:szCs w:val="18"/>
    </w:rPr>
  </w:style>
  <w:style w:type="paragraph" w:customStyle="1" w:styleId="18">
    <w:name w:val="附内"/>
    <w:basedOn w:val="19"/>
    <w:qFormat/>
    <w:uiPriority w:val="0"/>
    <w:pPr>
      <w:spacing w:line="400" w:lineRule="exact"/>
      <w:jc w:val="left"/>
    </w:pPr>
    <w:rPr>
      <w:b w:val="0"/>
      <w:sz w:val="24"/>
    </w:rPr>
  </w:style>
  <w:style w:type="paragraph" w:customStyle="1" w:styleId="19">
    <w:name w:val="附件"/>
    <w:basedOn w:val="1"/>
    <w:qFormat/>
    <w:uiPriority w:val="0"/>
    <w:rPr>
      <w:rFonts w:ascii="Calibri" w:hAnsi="Calibri" w:eastAsia="宋体" w:cs="Times New Roman"/>
      <w:b/>
      <w:sz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548</Words>
  <Characters>3124</Characters>
  <Lines>26</Lines>
  <Paragraphs>7</Paragraphs>
  <TotalTime>0</TotalTime>
  <ScaleCrop>false</ScaleCrop>
  <LinksUpToDate>false</LinksUpToDate>
  <CharactersWithSpaces>3665</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2016-08-31T13:10:00Z</dcterms:created>
  <dc:creator>mehaboobi shaik</dc:creator>
  <cp:lastModifiedBy>小贺</cp:lastModifiedBy>
  <dcterms:modified xsi:type="dcterms:W3CDTF">2020-03-07T06:18:13Z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2052-11.1.0.9440</vt:lpwstr>
  </property>
</Properties>
</file>