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5A64" w:rsidRDefault="00DC4988" w:rsidP="008940BB">
      <w:pPr>
        <w:ind w:leftChars="100" w:left="220" w:rightChars="200" w:right="440"/>
        <w:jc w:val="center"/>
        <w:rPr>
          <w:rFonts w:ascii="Minion Pro" w:eastAsia="Minion Pro" w:hAnsi="Minion Pro" w:cs="Minion Pro"/>
          <w:b/>
          <w:bCs/>
          <w:color w:val="337AB7"/>
          <w:sz w:val="36"/>
          <w:szCs w:val="36"/>
        </w:rPr>
      </w:pPr>
      <w:r>
        <w:rPr>
          <w:rFonts w:ascii="맑은 고딕" w:eastAsia="맑은 고딕" w:hAnsi="맑은 고딕" w:cs="맑은 고딕" w:hint="eastAsia"/>
          <w:b/>
          <w:bCs/>
          <w:color w:val="337AB7"/>
          <w:sz w:val="36"/>
          <w:szCs w:val="36"/>
          <w:lang w:eastAsia="ko-KR"/>
        </w:rPr>
        <w:t>T</w:t>
      </w:r>
      <w:r w:rsidRPr="00DC4988">
        <w:rPr>
          <w:rFonts w:ascii="Minion Pro" w:eastAsia="Minion Pro" w:hAnsi="Minion Pro" w:cs="Minion Pro"/>
          <w:b/>
          <w:bCs/>
          <w:color w:val="337AB7"/>
          <w:sz w:val="36"/>
          <w:szCs w:val="36"/>
        </w:rPr>
        <w:t xml:space="preserve">he </w:t>
      </w:r>
      <w:r w:rsidR="002F2F82">
        <w:rPr>
          <w:rFonts w:ascii="Minion Pro" w:eastAsia="Minion Pro" w:hAnsi="Minion Pro" w:cs="Minion Pro"/>
          <w:b/>
          <w:bCs/>
          <w:color w:val="337AB7"/>
          <w:sz w:val="36"/>
          <w:szCs w:val="36"/>
        </w:rPr>
        <w:t xml:space="preserve">effects of </w:t>
      </w:r>
      <w:bookmarkStart w:id="0" w:name="_GoBack"/>
      <w:bookmarkEnd w:id="0"/>
      <w:r w:rsidRPr="00DC4988">
        <w:rPr>
          <w:rFonts w:ascii="Minion Pro" w:eastAsia="Minion Pro" w:hAnsi="Minion Pro" w:cs="Minion Pro"/>
          <w:b/>
          <w:bCs/>
          <w:color w:val="337AB7"/>
          <w:sz w:val="36"/>
          <w:szCs w:val="36"/>
        </w:rPr>
        <w:t xml:space="preserve">neurokin1 receptor antagonist for </w:t>
      </w:r>
      <w:r w:rsidR="00505A64" w:rsidRPr="00DC4988">
        <w:rPr>
          <w:rFonts w:ascii="Minion Pro" w:eastAsia="Minion Pro" w:hAnsi="Minion Pro" w:cs="Minion Pro"/>
          <w:b/>
          <w:bCs/>
          <w:color w:val="337AB7"/>
          <w:sz w:val="36"/>
          <w:szCs w:val="36"/>
        </w:rPr>
        <w:t>arthritic</w:t>
      </w:r>
      <w:r w:rsidRPr="00DC4988">
        <w:rPr>
          <w:rFonts w:ascii="Minion Pro" w:eastAsia="Minion Pro" w:hAnsi="Minion Pro" w:cs="Minion Pro"/>
          <w:b/>
          <w:bCs/>
          <w:color w:val="337AB7"/>
          <w:sz w:val="36"/>
          <w:szCs w:val="36"/>
        </w:rPr>
        <w:t xml:space="preserve"> pain in a rat model of osteoarthritis</w:t>
      </w:r>
    </w:p>
    <w:p w:rsidR="00D46F63" w:rsidRDefault="00E4190C" w:rsidP="000A7450">
      <w:pPr>
        <w:pStyle w:val="a3"/>
        <w:ind w:left="180" w:hangingChars="100" w:hanging="180"/>
        <w:rPr>
          <w:rFonts w:ascii="Arial" w:hAnsi="Arial" w:cs="Arial"/>
        </w:rPr>
      </w:pPr>
      <w:r w:rsidRPr="001251D5">
        <w:rPr>
          <w:rFonts w:ascii="Arial" w:hAnsi="Arial" w:cs="Arial"/>
          <w:iCs/>
          <w:vertAlign w:val="superscript"/>
        </w:rPr>
        <w:t>1</w:t>
      </w:r>
      <w:r w:rsidR="00F274A9" w:rsidRPr="004D052D">
        <w:rPr>
          <w:rFonts w:ascii="Arial" w:hAnsi="Arial" w:cs="Arial"/>
        </w:rPr>
        <w:t>D</w:t>
      </w:r>
      <w:r w:rsidR="00F274A9" w:rsidRPr="004D052D">
        <w:rPr>
          <w:rFonts w:ascii="Arial" w:eastAsia="맑은 고딕" w:hAnsi="Arial" w:cs="Arial"/>
          <w:lang w:eastAsia="ko-KR"/>
        </w:rPr>
        <w:t>o</w:t>
      </w:r>
      <w:r w:rsidR="00F274A9" w:rsidRPr="004D052D">
        <w:rPr>
          <w:rFonts w:ascii="Arial" w:hAnsi="Arial" w:cs="Arial"/>
        </w:rPr>
        <w:t>ng</w:t>
      </w:r>
      <w:r w:rsidR="001251D5" w:rsidRPr="004D052D">
        <w:rPr>
          <w:rFonts w:ascii="Arial" w:hAnsi="Arial" w:cs="Arial"/>
        </w:rPr>
        <w:t>y</w:t>
      </w:r>
      <w:r w:rsidR="00F274A9" w:rsidRPr="004D052D">
        <w:rPr>
          <w:rFonts w:ascii="Arial" w:hAnsi="Arial" w:cs="Arial"/>
        </w:rPr>
        <w:t>e</w:t>
      </w:r>
      <w:r w:rsidR="00F274A9" w:rsidRPr="00505A64">
        <w:rPr>
          <w:rFonts w:ascii="Arial" w:hAnsi="Arial" w:cs="Arial"/>
        </w:rPr>
        <w:t>on</w:t>
      </w:r>
      <w:r w:rsidR="00DC4988" w:rsidRPr="00505A64">
        <w:rPr>
          <w:rFonts w:ascii="Arial" w:hAnsi="Arial" w:cs="Arial"/>
        </w:rPr>
        <w:t xml:space="preserve"> Nam,</w:t>
      </w:r>
      <w:r w:rsidR="00F274A9">
        <w:rPr>
          <w:rFonts w:ascii="Arial" w:hAnsi="Arial" w:cs="Arial"/>
        </w:rPr>
        <w:t xml:space="preserve"> </w:t>
      </w:r>
      <w:r w:rsidR="00D067D4" w:rsidRPr="00D067D4">
        <w:rPr>
          <w:rFonts w:ascii="Arial" w:hAnsi="Arial" w:cs="Arial"/>
        </w:rPr>
        <w:t>BK21+ Program</w:t>
      </w:r>
      <w:r w:rsidR="00DC4988" w:rsidRPr="00505A64">
        <w:rPr>
          <w:rFonts w:ascii="Arial" w:hAnsi="Arial" w:cs="Arial"/>
        </w:rPr>
        <w:t>, Dept. of Public Health Science, Graduate School, Korea University, Seoul, Korea,</w:t>
      </w:r>
      <w:r w:rsidR="001E51E3">
        <w:rPr>
          <w:rFonts w:ascii="Arial" w:hAnsi="Arial" w:cs="Arial"/>
        </w:rPr>
        <w:t xml:space="preserve"> </w:t>
      </w:r>
      <w:r w:rsidR="00DC4988" w:rsidRPr="00505A64">
        <w:rPr>
          <w:rFonts w:ascii="Arial" w:hAnsi="Arial" w:cs="Arial"/>
        </w:rPr>
        <w:t>Republic of</w:t>
      </w:r>
    </w:p>
    <w:p w:rsidR="00E96DAF" w:rsidRPr="00E96DAF" w:rsidRDefault="00E4190C" w:rsidP="00B84520">
      <w:pPr>
        <w:pStyle w:val="a3"/>
        <w:rPr>
          <w:rFonts w:ascii="Arial" w:eastAsiaTheme="minorEastAsia"/>
          <w:sz w:val="20"/>
          <w:lang w:eastAsia="ko-KR"/>
        </w:rPr>
      </w:pPr>
      <w:r w:rsidRPr="001251D5">
        <w:rPr>
          <w:rFonts w:ascii="Arial" w:hAnsi="Arial" w:cs="Arial"/>
          <w:iCs/>
          <w:vertAlign w:val="superscript"/>
        </w:rPr>
        <w:t>2</w:t>
      </w:r>
      <w:r w:rsidR="00E96DAF" w:rsidRPr="00E4190C">
        <w:rPr>
          <w:rFonts w:ascii="Arial" w:eastAsiaTheme="minorEastAsia"/>
          <w:lang w:eastAsia="ko-KR"/>
        </w:rPr>
        <w:t>Taemin Kim</w:t>
      </w:r>
      <w:r w:rsidR="00E96DAF" w:rsidRPr="00505A64">
        <w:rPr>
          <w:rFonts w:ascii="Arial" w:hAnsi="Arial" w:cs="Arial"/>
        </w:rPr>
        <w:t>,</w:t>
      </w:r>
      <w:r w:rsidR="00E96DAF" w:rsidRPr="00505A64">
        <w:rPr>
          <w:rFonts w:ascii="Arial" w:hAnsi="Arial" w:cs="Arial"/>
          <w:vertAlign w:val="superscript"/>
          <w:lang w:eastAsia="ko-KR"/>
        </w:rPr>
        <w:t xml:space="preserve"> </w:t>
      </w:r>
      <w:r w:rsidR="00E96DAF" w:rsidRPr="00505A64">
        <w:rPr>
          <w:rFonts w:ascii="Arial" w:hAnsi="Arial" w:cs="Arial"/>
          <w:lang w:eastAsia="ko-KR"/>
        </w:rPr>
        <w:t>Department of Physical Therapy, Korea University, College of Health Science, Seoul, Korea, Republic of</w:t>
      </w:r>
      <w:r w:rsidR="00E96DAF">
        <w:rPr>
          <w:rFonts w:ascii="Arial" w:eastAsiaTheme="minorEastAsia" w:hint="eastAsia"/>
          <w:sz w:val="20"/>
          <w:lang w:eastAsia="ko-KR"/>
        </w:rPr>
        <w:t xml:space="preserve"> </w:t>
      </w:r>
    </w:p>
    <w:p w:rsidR="00D46F63" w:rsidRDefault="00E4190C" w:rsidP="00B84520">
      <w:pPr>
        <w:pStyle w:val="a3"/>
        <w:rPr>
          <w:rFonts w:ascii="Arial" w:eastAsiaTheme="minorEastAsia"/>
          <w:sz w:val="20"/>
          <w:lang w:eastAsia="ko-KR"/>
        </w:rPr>
      </w:pPr>
      <w:r w:rsidRPr="001251D5">
        <w:rPr>
          <w:rFonts w:ascii="Arial" w:eastAsiaTheme="minorEastAsia" w:hAnsi="Arial" w:cs="Arial"/>
          <w:iCs/>
          <w:vertAlign w:val="superscript"/>
          <w:lang w:eastAsia="ko-KR"/>
        </w:rPr>
        <w:t>3</w:t>
      </w:r>
      <w:r w:rsidR="00F274A9">
        <w:rPr>
          <w:rFonts w:ascii="Arial" w:hAnsi="Arial" w:cs="Arial"/>
          <w:lang w:eastAsia="ko-KR"/>
        </w:rPr>
        <w:t>J</w:t>
      </w:r>
      <w:r w:rsidR="00F274A9" w:rsidRPr="00505A64">
        <w:rPr>
          <w:rFonts w:ascii="Arial" w:hAnsi="Arial" w:cs="Arial"/>
          <w:lang w:eastAsia="ko-KR"/>
        </w:rPr>
        <w:t>inseng</w:t>
      </w:r>
      <w:r w:rsidR="00DC4988" w:rsidRPr="00505A64">
        <w:rPr>
          <w:rFonts w:ascii="Arial" w:hAnsi="Arial" w:cs="Arial"/>
          <w:lang w:eastAsia="ko-KR"/>
        </w:rPr>
        <w:t xml:space="preserve"> Lee</w:t>
      </w:r>
      <w:r w:rsidR="00DC4988" w:rsidRPr="00D067D4">
        <w:rPr>
          <w:rFonts w:ascii="Arial" w:hAnsi="Arial" w:cs="Arial"/>
          <w:lang w:eastAsia="ko-KR"/>
        </w:rPr>
        <w:t>,</w:t>
      </w:r>
      <w:r w:rsidR="00D067D4" w:rsidRPr="00D067D4">
        <w:rPr>
          <w:rFonts w:ascii="Arial" w:hAnsi="Arial" w:cs="Arial"/>
          <w:lang w:eastAsia="ko-KR"/>
        </w:rPr>
        <w:t xml:space="preserve"> </w:t>
      </w:r>
      <w:r w:rsidR="00D067D4" w:rsidRPr="00D067D4">
        <w:rPr>
          <w:rFonts w:ascii="Arial" w:hAnsi="Arial" w:cs="Arial"/>
        </w:rPr>
        <w:t>BK21+ Program</w:t>
      </w:r>
      <w:r w:rsidR="00DC4988" w:rsidRPr="00505A64">
        <w:rPr>
          <w:rFonts w:ascii="Arial" w:hAnsi="Arial" w:cs="Arial"/>
        </w:rPr>
        <w:t>, Dept. of Public Health Science, Graduate School, Korea University, Seoul, Korea, Republic</w:t>
      </w:r>
      <w:r w:rsidR="001E51E3">
        <w:rPr>
          <w:rFonts w:ascii="Arial" w:hAnsi="Arial" w:cs="Arial"/>
        </w:rPr>
        <w:t xml:space="preserve"> </w:t>
      </w:r>
      <w:r w:rsidR="00DC4988" w:rsidRPr="00505A64">
        <w:rPr>
          <w:rFonts w:ascii="Arial" w:hAnsi="Arial" w:cs="Arial"/>
        </w:rPr>
        <w:t>of</w:t>
      </w:r>
    </w:p>
    <w:p w:rsidR="00DC4988" w:rsidRPr="00F274A9" w:rsidRDefault="00E4190C" w:rsidP="00B84520">
      <w:pPr>
        <w:pStyle w:val="a3"/>
        <w:rPr>
          <w:rFonts w:ascii="Arial" w:eastAsiaTheme="minorEastAsia" w:hAnsi="Arial" w:cs="Arial"/>
          <w:sz w:val="20"/>
          <w:lang w:eastAsia="ko-KR"/>
        </w:rPr>
      </w:pPr>
      <w:r w:rsidRPr="001251D5">
        <w:rPr>
          <w:rFonts w:ascii="Arial" w:eastAsiaTheme="minorEastAsia" w:hAnsi="Arial" w:cs="Arial"/>
          <w:iCs/>
          <w:vertAlign w:val="superscript"/>
          <w:lang w:eastAsia="ko-KR"/>
        </w:rPr>
        <w:t>4</w:t>
      </w:r>
      <w:r w:rsidR="00DC4988" w:rsidRPr="00F274A9">
        <w:rPr>
          <w:rFonts w:ascii="Arial" w:hAnsi="Arial" w:cs="Arial"/>
          <w:lang w:eastAsia="ko-KR"/>
        </w:rPr>
        <w:t>Jinju Kwon</w:t>
      </w:r>
      <w:r w:rsidR="00DC4988" w:rsidRPr="00F274A9">
        <w:rPr>
          <w:rFonts w:ascii="Arial" w:hAnsi="Arial" w:cs="Arial"/>
        </w:rPr>
        <w:t xml:space="preserve">, </w:t>
      </w:r>
      <w:r w:rsidR="00D067D4" w:rsidRPr="00D067D4">
        <w:rPr>
          <w:rFonts w:ascii="Arial" w:hAnsi="Arial" w:cs="Arial"/>
        </w:rPr>
        <w:t>BK21+ Program</w:t>
      </w:r>
      <w:r w:rsidR="00DC4988" w:rsidRPr="00F274A9">
        <w:rPr>
          <w:rFonts w:ascii="Arial" w:hAnsi="Arial" w:cs="Arial"/>
        </w:rPr>
        <w:t>, Dept. of Public Health Science, Graduate School, Korea University, Seoul, Korea, Republic of</w:t>
      </w:r>
    </w:p>
    <w:p w:rsidR="000431DF" w:rsidRPr="00FC556F" w:rsidRDefault="00E4190C" w:rsidP="00FC556F">
      <w:pPr>
        <w:pStyle w:val="a3"/>
        <w:rPr>
          <w:rFonts w:ascii="Arial" w:hAnsi="Arial" w:cs="Arial"/>
          <w:lang w:eastAsia="ko-KR"/>
        </w:rPr>
      </w:pPr>
      <w:r w:rsidRPr="001251D5">
        <w:rPr>
          <w:rFonts w:ascii="Arial" w:eastAsiaTheme="minorEastAsia" w:hAnsi="Arial" w:cs="Arial"/>
          <w:iCs/>
          <w:vertAlign w:val="superscript"/>
          <w:lang w:eastAsia="ko-KR"/>
        </w:rPr>
        <w:t>5</w:t>
      </w:r>
      <w:r w:rsidR="00FC556F" w:rsidRPr="00FC556F">
        <w:rPr>
          <w:rFonts w:ascii="Arial" w:eastAsia="함초롬바탕" w:hAnsi="Arial" w:cs="Arial"/>
        </w:rPr>
        <w:t>Junesun Kim</w:t>
      </w:r>
      <w:r w:rsidR="001263D9">
        <w:rPr>
          <w:rFonts w:ascii="Arial" w:eastAsia="함초롬바탕" w:hAnsi="Arial" w:cs="Arial"/>
          <w:vertAlign w:val="superscript"/>
        </w:rPr>
        <w:t>*</w:t>
      </w:r>
      <w:r w:rsidR="001263D9">
        <w:rPr>
          <w:rFonts w:ascii="Arial" w:eastAsia="함초롬바탕" w:hAnsi="Arial" w:cs="Arial"/>
        </w:rPr>
        <w:t xml:space="preserve">, </w:t>
      </w:r>
      <w:r w:rsidR="001263D9" w:rsidRPr="00F274A9">
        <w:rPr>
          <w:rFonts w:ascii="Arial" w:hAnsi="Arial" w:cs="Arial"/>
        </w:rPr>
        <w:t>Dept. of Public Health Science, Graduate School</w:t>
      </w:r>
      <w:r w:rsidR="001263D9">
        <w:rPr>
          <w:rFonts w:ascii="Arial" w:hAnsi="Arial" w:cs="Arial"/>
        </w:rPr>
        <w:t xml:space="preserve"> &amp;</w:t>
      </w:r>
      <w:r w:rsidR="00FC556F" w:rsidRPr="00FC556F">
        <w:rPr>
          <w:rFonts w:ascii="Arial" w:eastAsia="함초롬바탕" w:hAnsi="Arial" w:cs="Arial"/>
          <w:sz w:val="14"/>
          <w:szCs w:val="14"/>
        </w:rPr>
        <w:t xml:space="preserve"> </w:t>
      </w:r>
      <w:r w:rsidR="000431DF" w:rsidRPr="00FC556F">
        <w:rPr>
          <w:rFonts w:ascii="Arial" w:hAnsi="Arial" w:cs="Arial"/>
          <w:lang w:eastAsia="ko-KR"/>
        </w:rPr>
        <w:t>Department of Physical Therapy, Korea University, College of Health Science, Seoul, Korea, Republic of,</w:t>
      </w:r>
    </w:p>
    <w:p w:rsidR="00AE3E37" w:rsidRPr="00F274A9" w:rsidRDefault="00AE3E37" w:rsidP="00FC556F">
      <w:pPr>
        <w:pStyle w:val="a3"/>
        <w:rPr>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46F63" w:rsidRPr="00D46F63" w:rsidRDefault="00D46F63" w:rsidP="007354F6">
      <w:pPr>
        <w:pStyle w:val="3"/>
        <w:spacing w:before="147"/>
        <w:ind w:left="0"/>
        <w:jc w:val="both"/>
        <w:rPr>
          <w:rFonts w:eastAsiaTheme="minorEastAsia"/>
          <w:color w:val="BF5A14"/>
          <w:lang w:eastAsia="ko-KR"/>
        </w:rPr>
      </w:pPr>
    </w:p>
    <w:p w:rsidR="00120475" w:rsidRPr="00C91F3F" w:rsidRDefault="00531F75" w:rsidP="001263D9">
      <w:pPr>
        <w:autoSpaceDE w:val="0"/>
        <w:autoSpaceDN w:val="0"/>
        <w:adjustRightInd w:val="0"/>
        <w:jc w:val="both"/>
        <w:rPr>
          <w:rFonts w:eastAsia="맑은 고딕" w:cs="맑은 고딕"/>
          <w:sz w:val="18"/>
          <w:szCs w:val="18"/>
          <w:lang w:eastAsia="ko-KR"/>
        </w:rPr>
      </w:pPr>
      <w:r w:rsidRPr="00C91F3F">
        <w:rPr>
          <w:sz w:val="18"/>
          <w:szCs w:val="18"/>
        </w:rPr>
        <w:t>Statement of the Problem</w:t>
      </w:r>
      <w:r w:rsidRPr="00C91F3F">
        <w:rPr>
          <w:rFonts w:eastAsia="맑은 고딕" w:cs="맑은 고딕"/>
          <w:sz w:val="18"/>
          <w:szCs w:val="18"/>
          <w:lang w:eastAsia="ko-KR"/>
        </w:rPr>
        <w:t xml:space="preserve"> </w:t>
      </w:r>
      <w:r w:rsidR="00FD7158" w:rsidRPr="00C91F3F">
        <w:rPr>
          <w:rFonts w:eastAsia="맑은 고딕" w:cs="맑은 고딕"/>
          <w:sz w:val="18"/>
          <w:szCs w:val="18"/>
          <w:lang w:eastAsia="ko-KR"/>
        </w:rPr>
        <w:t xml:space="preserve">Osteoarthritis (OA) cause inflammation in the joint and is a common degenerative disease in elderly people. Chronic pain is a main symptom in OA patients. However, medications for OA pain limited effects due to the side effects depending on long- lasting usage. Substance P is a neuropeptide release from nociceptive afferent fiber to peripheral and central nervous system that is responsible for neurogenic inflammation and pain transmission through the activation of neurokinin 1 (NK1) receptor. This study was designed to examine a possibility for the NK1 receptor antagonist to be a therapeutic agent for OA pain. </w:t>
      </w:r>
    </w:p>
    <w:p w:rsidR="00FD7158" w:rsidRPr="00C91F3F" w:rsidRDefault="00531F75" w:rsidP="00531F75">
      <w:pPr>
        <w:autoSpaceDE w:val="0"/>
        <w:autoSpaceDN w:val="0"/>
        <w:adjustRightInd w:val="0"/>
        <w:jc w:val="both"/>
        <w:rPr>
          <w:rFonts w:eastAsia="맑은 고딕" w:cs="맑은 고딕"/>
          <w:sz w:val="18"/>
          <w:szCs w:val="18"/>
          <w:lang w:eastAsia="ko-KR"/>
        </w:rPr>
      </w:pPr>
      <w:r w:rsidRPr="00C91F3F">
        <w:rPr>
          <w:sz w:val="18"/>
          <w:szCs w:val="18"/>
        </w:rPr>
        <w:t xml:space="preserve">Methodology &amp; Theoretical Orientation: </w:t>
      </w:r>
      <w:r w:rsidR="00FD7158" w:rsidRPr="00C91F3F">
        <w:rPr>
          <w:rFonts w:eastAsia="맑은 고딕" w:cs="맑은 고딕"/>
          <w:sz w:val="18"/>
          <w:szCs w:val="18"/>
          <w:lang w:eastAsia="ko-KR"/>
        </w:rPr>
        <w:t xml:space="preserve">Knee joint inflammation was induced by intra-articular injection of monosodium iodoacetate (MIA, 2mg/50ul). NK1 receptor antagonist (TOCRIS, GR92334, 10uM/30ul) injected before (Pre group) and after MIA injection (Post group). To assess edema, the knee joint diameter was measured by caliper. Paw withdrawal threshold (PWT) was used by von Frey filament to measure mechanical hypersensitivity, and weight bearing test, knee bending test were performed to evaluate the pain during knee joint move. </w:t>
      </w:r>
      <w:r w:rsidRPr="00C91F3F">
        <w:rPr>
          <w:rFonts w:eastAsia="맑은 고딕" w:cs="맑은 고딕"/>
          <w:sz w:val="18"/>
          <w:szCs w:val="18"/>
          <w:lang w:eastAsia="ko-KR"/>
        </w:rPr>
        <w:t xml:space="preserve"> </w:t>
      </w:r>
      <w:r w:rsidRPr="00C91F3F">
        <w:rPr>
          <w:sz w:val="18"/>
          <w:szCs w:val="18"/>
        </w:rPr>
        <w:t xml:space="preserve">Findings: </w:t>
      </w:r>
      <w:r w:rsidR="00120475" w:rsidRPr="00C91F3F">
        <w:rPr>
          <w:rFonts w:eastAsia="맑은 고딕" w:cs="맑은 고딕"/>
          <w:sz w:val="18"/>
          <w:szCs w:val="18"/>
          <w:lang w:eastAsia="ko-KR"/>
        </w:rPr>
        <w:t>B</w:t>
      </w:r>
      <w:r w:rsidR="00120475" w:rsidRPr="00C91F3F">
        <w:rPr>
          <w:rFonts w:eastAsiaTheme="minorEastAsia" w:cs="Times New Roman"/>
          <w:sz w:val="18"/>
          <w:szCs w:val="18"/>
        </w:rPr>
        <w:t>oth pre- and post-administration of NK1 receptor antagonist significantly reduced edema in ipsilateral hind</w:t>
      </w:r>
      <w:r w:rsidR="001263D9" w:rsidRPr="00C91F3F">
        <w:rPr>
          <w:rFonts w:eastAsiaTheme="minorEastAsia" w:cs="Times New Roman"/>
          <w:sz w:val="18"/>
          <w:szCs w:val="18"/>
        </w:rPr>
        <w:t>-</w:t>
      </w:r>
      <w:r w:rsidR="00120475" w:rsidRPr="00C91F3F">
        <w:rPr>
          <w:rFonts w:eastAsiaTheme="minorEastAsia" w:cs="Times New Roman"/>
          <w:sz w:val="18"/>
          <w:szCs w:val="18"/>
        </w:rPr>
        <w:t>limb on days 2 and 3 after MIA in</w:t>
      </w:r>
      <w:r w:rsidR="001263D9" w:rsidRPr="00C91F3F">
        <w:rPr>
          <w:rFonts w:eastAsiaTheme="minorEastAsia" w:cs="Times New Roman"/>
          <w:sz w:val="18"/>
          <w:szCs w:val="18"/>
        </w:rPr>
        <w:t>j</w:t>
      </w:r>
      <w:r w:rsidR="00120475" w:rsidRPr="00C91F3F">
        <w:rPr>
          <w:rFonts w:eastAsiaTheme="minorEastAsia" w:cs="Times New Roman"/>
          <w:sz w:val="18"/>
          <w:szCs w:val="18"/>
        </w:rPr>
        <w:t xml:space="preserve">ection. </w:t>
      </w:r>
      <w:r w:rsidR="001019CF" w:rsidRPr="00C91F3F">
        <w:rPr>
          <w:rFonts w:cs="Times New Roman"/>
          <w:sz w:val="18"/>
          <w:szCs w:val="18"/>
        </w:rPr>
        <w:t xml:space="preserve">Significant decrease of PWT caused in the MIA group was observed from days 10. However, a single injection of NK1 receptor antagonist into the knee joint inhibited to develop mechanical allodynia in both PRE and POST groups. However, NK1 receptor antagonist in both PRE and POST group did not produce any significant changes in reduced weight bearing and increased knee joint score on the ipsilateral hind-limb after MIA injection compared with the MIA only group. </w:t>
      </w:r>
      <w:r w:rsidRPr="00C91F3F">
        <w:rPr>
          <w:sz w:val="18"/>
          <w:szCs w:val="18"/>
        </w:rPr>
        <w:t>Conclusion &amp; Significance:</w:t>
      </w:r>
      <w:r w:rsidRPr="00C91F3F">
        <w:rPr>
          <w:rFonts w:cs="Times New Roman"/>
          <w:sz w:val="18"/>
          <w:szCs w:val="18"/>
        </w:rPr>
        <w:t xml:space="preserve"> A</w:t>
      </w:r>
      <w:r w:rsidR="001263D9" w:rsidRPr="00C91F3F">
        <w:rPr>
          <w:rFonts w:cs="Times New Roman"/>
          <w:sz w:val="18"/>
          <w:szCs w:val="18"/>
        </w:rPr>
        <w:t xml:space="preserve">dministration of NK1 receptor antagonist in early stage of OA inhibited the initiation of chronic pain through alleviation of inflammatory responses in the joints. </w:t>
      </w:r>
    </w:p>
    <w:p w:rsidR="004F48EC" w:rsidRDefault="004F48EC" w:rsidP="00FD7158">
      <w:pPr>
        <w:autoSpaceDE w:val="0"/>
        <w:autoSpaceDN w:val="0"/>
        <w:adjustRightInd w:val="0"/>
        <w:rPr>
          <w:rFonts w:eastAsia="맑은 고딕" w:cs="맑은 고딕"/>
          <w:sz w:val="18"/>
          <w:szCs w:val="18"/>
          <w:lang w:eastAsia="ko-KR"/>
        </w:rPr>
      </w:pPr>
    </w:p>
    <w:p w:rsidR="004F48EC" w:rsidRDefault="004F48EC" w:rsidP="00FD7158">
      <w:pPr>
        <w:autoSpaceDE w:val="0"/>
        <w:autoSpaceDN w:val="0"/>
        <w:adjustRightInd w:val="0"/>
        <w:rPr>
          <w:rFonts w:eastAsia="맑은 고딕" w:cs="맑은 고딕"/>
          <w:sz w:val="18"/>
          <w:szCs w:val="18"/>
          <w:lang w:eastAsia="ko-KR"/>
        </w:rPr>
      </w:pPr>
    </w:p>
    <w:p w:rsidR="00AE3E37" w:rsidRPr="008A39B3" w:rsidRDefault="00A9710C" w:rsidP="00FD7158">
      <w:pPr>
        <w:autoSpaceDE w:val="0"/>
        <w:autoSpaceDN w:val="0"/>
        <w:adjustRightInd w:val="0"/>
        <w:rPr>
          <w:rFonts w:eastAsiaTheme="minorEastAsia" w:cs="Times New Roman"/>
          <w:sz w:val="18"/>
          <w:szCs w:val="18"/>
        </w:rPr>
      </w:pPr>
      <w:r w:rsidRPr="00E772BE">
        <w:rPr>
          <w:sz w:val="18"/>
          <w:szCs w:val="18"/>
          <w:lang w:eastAsia="ko-KR"/>
        </w:rPr>
        <w:br w:type="column"/>
      </w:r>
      <w:r w:rsidRPr="00320293">
        <w:rPr>
          <w:rFonts w:ascii="Arial" w:hAnsi="Arial" w:cs="Arial"/>
          <w:b/>
          <w:bCs/>
          <w:color w:val="BF5A14"/>
          <w:sz w:val="20"/>
          <w:szCs w:val="20"/>
          <w:lang w:eastAsia="ko-KR"/>
        </w:rPr>
        <w:t>Image</w:t>
      </w:r>
    </w:p>
    <w:p w:rsidR="00AE3E37" w:rsidRDefault="00B02C08">
      <w:pPr>
        <w:pStyle w:val="a3"/>
        <w:spacing w:before="2"/>
        <w:rPr>
          <w:rFonts w:ascii="Arial"/>
          <w:b/>
          <w:sz w:val="16"/>
          <w:lang w:eastAsia="ko-KR"/>
        </w:rPr>
      </w:pPr>
      <w:r>
        <w:rPr>
          <w:noProof/>
          <w:lang w:eastAsia="ko-KR"/>
        </w:rPr>
        <w:drawing>
          <wp:inline distT="0" distB="0" distL="0" distR="0" wp14:anchorId="3031A86C" wp14:editId="0F382A81">
            <wp:extent cx="3469005" cy="2369127"/>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56485" cy="2428871"/>
                    </a:xfrm>
                    <a:prstGeom prst="rect">
                      <a:avLst/>
                    </a:prstGeom>
                  </pic:spPr>
                </pic:pic>
              </a:graphicData>
            </a:graphic>
          </wp:inline>
        </w:drawing>
      </w:r>
    </w:p>
    <w:p w:rsidR="005973B9" w:rsidRDefault="005973B9" w:rsidP="005973B9">
      <w:pPr>
        <w:spacing w:line="204" w:lineRule="exact"/>
        <w:rPr>
          <w:rFonts w:ascii="Arial"/>
          <w:b/>
          <w:sz w:val="20"/>
        </w:rPr>
      </w:pPr>
    </w:p>
    <w:p w:rsidR="00BC79BD" w:rsidRPr="00531F75" w:rsidRDefault="00BC79BD" w:rsidP="005973B9">
      <w:pPr>
        <w:pStyle w:val="a4"/>
        <w:numPr>
          <w:ilvl w:val="0"/>
          <w:numId w:val="3"/>
        </w:numPr>
        <w:tabs>
          <w:tab w:val="left" w:pos="384"/>
        </w:tabs>
        <w:spacing w:line="216" w:lineRule="exact"/>
        <w:ind w:right="137" w:hanging="283"/>
        <w:rPr>
          <w:rFonts w:asciiTheme="minorHAnsi" w:hAnsiTheme="minorHAnsi" w:cstheme="minorHAnsi"/>
          <w:sz w:val="18"/>
        </w:rPr>
      </w:pPr>
      <w:r w:rsidRPr="00531F75">
        <w:rPr>
          <w:rFonts w:asciiTheme="minorHAnsi" w:hAnsiTheme="minorHAnsi" w:cstheme="minorHAnsi"/>
          <w:sz w:val="18"/>
          <w:szCs w:val="18"/>
        </w:rPr>
        <w:t xml:space="preserve">Richardson JD, Vasko MR (2002). Cellular mechanisms of neurogenic inflammation. </w:t>
      </w:r>
      <w:r w:rsidRPr="00531F75">
        <w:rPr>
          <w:rFonts w:asciiTheme="minorHAnsi" w:hAnsiTheme="minorHAnsi" w:cstheme="minorHAnsi"/>
          <w:i/>
          <w:iCs/>
          <w:sz w:val="18"/>
          <w:szCs w:val="18"/>
        </w:rPr>
        <w:t xml:space="preserve">The Journal of pharmacology and experimental therapeutics </w:t>
      </w:r>
      <w:r w:rsidRPr="00531F75">
        <w:rPr>
          <w:rFonts w:asciiTheme="minorHAnsi" w:hAnsiTheme="minorHAnsi" w:cstheme="minorHAnsi"/>
          <w:b/>
          <w:bCs/>
          <w:sz w:val="18"/>
          <w:szCs w:val="18"/>
        </w:rPr>
        <w:t>302</w:t>
      </w:r>
      <w:r w:rsidRPr="00531F75">
        <w:rPr>
          <w:rFonts w:asciiTheme="minorHAnsi" w:hAnsiTheme="minorHAnsi" w:cstheme="minorHAnsi"/>
          <w:sz w:val="18"/>
          <w:szCs w:val="18"/>
        </w:rPr>
        <w:t>(3)</w:t>
      </w:r>
      <w:r w:rsidRPr="00531F75">
        <w:rPr>
          <w:rFonts w:asciiTheme="minorHAnsi" w:hAnsiTheme="minorHAnsi" w:cstheme="minorHAnsi"/>
          <w:b/>
          <w:bCs/>
          <w:sz w:val="18"/>
          <w:szCs w:val="18"/>
        </w:rPr>
        <w:t xml:space="preserve">: </w:t>
      </w:r>
      <w:r w:rsidRPr="00531F75">
        <w:rPr>
          <w:rFonts w:asciiTheme="minorHAnsi" w:hAnsiTheme="minorHAnsi" w:cstheme="minorHAnsi"/>
          <w:sz w:val="18"/>
          <w:szCs w:val="18"/>
        </w:rPr>
        <w:t>839-845.</w:t>
      </w:r>
    </w:p>
    <w:p w:rsidR="00BC79BD" w:rsidRPr="00531F75" w:rsidRDefault="00A57D73" w:rsidP="005973B9">
      <w:pPr>
        <w:pStyle w:val="a4"/>
        <w:numPr>
          <w:ilvl w:val="0"/>
          <w:numId w:val="3"/>
        </w:numPr>
        <w:tabs>
          <w:tab w:val="left" w:pos="384"/>
        </w:tabs>
        <w:spacing w:line="216" w:lineRule="exact"/>
        <w:ind w:right="137" w:hanging="283"/>
        <w:rPr>
          <w:rFonts w:asciiTheme="minorHAnsi" w:hAnsiTheme="minorHAnsi" w:cstheme="minorHAnsi"/>
          <w:sz w:val="18"/>
        </w:rPr>
      </w:pPr>
      <w:r w:rsidRPr="00531F75">
        <w:rPr>
          <w:rFonts w:asciiTheme="minorHAnsi" w:eastAsiaTheme="minorEastAsia" w:hAnsiTheme="minorHAnsi" w:cstheme="minorHAnsi"/>
          <w:sz w:val="18"/>
          <w:szCs w:val="18"/>
        </w:rPr>
        <w:t xml:space="preserve">Keeble JE, Brain SD (2004). A role for substance P in arthritis? </w:t>
      </w:r>
      <w:r w:rsidRPr="00531F75">
        <w:rPr>
          <w:rFonts w:asciiTheme="minorHAnsi" w:eastAsiaTheme="minorEastAsia" w:hAnsiTheme="minorHAnsi" w:cstheme="minorHAnsi"/>
          <w:i/>
          <w:iCs/>
          <w:sz w:val="18"/>
          <w:szCs w:val="18"/>
        </w:rPr>
        <w:t xml:space="preserve">Neurosci Lett </w:t>
      </w:r>
      <w:r w:rsidRPr="00531F75">
        <w:rPr>
          <w:rFonts w:asciiTheme="minorHAnsi" w:eastAsiaTheme="minorEastAsia" w:hAnsiTheme="minorHAnsi" w:cstheme="minorHAnsi"/>
          <w:b/>
          <w:bCs/>
          <w:sz w:val="18"/>
          <w:szCs w:val="18"/>
        </w:rPr>
        <w:t>361</w:t>
      </w:r>
      <w:r w:rsidRPr="00531F75">
        <w:rPr>
          <w:rFonts w:asciiTheme="minorHAnsi" w:eastAsiaTheme="minorEastAsia" w:hAnsiTheme="minorHAnsi" w:cstheme="minorHAnsi"/>
          <w:sz w:val="18"/>
          <w:szCs w:val="18"/>
        </w:rPr>
        <w:t>(1-3)</w:t>
      </w:r>
      <w:r w:rsidRPr="00531F75">
        <w:rPr>
          <w:rFonts w:asciiTheme="minorHAnsi" w:eastAsiaTheme="minorEastAsia" w:hAnsiTheme="minorHAnsi" w:cstheme="minorHAnsi"/>
          <w:b/>
          <w:bCs/>
          <w:sz w:val="18"/>
          <w:szCs w:val="18"/>
        </w:rPr>
        <w:t xml:space="preserve">: </w:t>
      </w:r>
      <w:r w:rsidRPr="00531F75">
        <w:rPr>
          <w:rFonts w:asciiTheme="minorHAnsi" w:eastAsiaTheme="minorEastAsia" w:hAnsiTheme="minorHAnsi" w:cstheme="minorHAnsi"/>
          <w:sz w:val="18"/>
          <w:szCs w:val="18"/>
        </w:rPr>
        <w:t>176-179.</w:t>
      </w:r>
    </w:p>
    <w:p w:rsidR="00A57D73" w:rsidRPr="00531F75" w:rsidRDefault="00A57D73" w:rsidP="00A57D73">
      <w:pPr>
        <w:pStyle w:val="a4"/>
        <w:numPr>
          <w:ilvl w:val="0"/>
          <w:numId w:val="3"/>
        </w:numPr>
        <w:autoSpaceDE w:val="0"/>
        <w:autoSpaceDN w:val="0"/>
        <w:adjustRightInd w:val="0"/>
        <w:spacing w:before="85" w:line="216" w:lineRule="exact"/>
        <w:ind w:right="138"/>
        <w:rPr>
          <w:rFonts w:asciiTheme="minorHAnsi" w:hAnsiTheme="minorHAnsi" w:cstheme="minorHAnsi"/>
          <w:b/>
          <w:bCs/>
          <w:sz w:val="18"/>
          <w:szCs w:val="18"/>
          <w:u w:val="single"/>
        </w:rPr>
      </w:pPr>
      <w:r w:rsidRPr="00531F75">
        <w:rPr>
          <w:rFonts w:asciiTheme="minorHAnsi" w:eastAsiaTheme="minorEastAsia" w:hAnsiTheme="minorHAnsi" w:cstheme="minorHAnsi"/>
          <w:sz w:val="18"/>
          <w:szCs w:val="18"/>
        </w:rPr>
        <w:t xml:space="preserve">Liu D, Jiang L-S, Dai L-Y (2007). Substance P and its receptors in bone metabolism. </w:t>
      </w:r>
      <w:r w:rsidRPr="00531F75">
        <w:rPr>
          <w:rFonts w:asciiTheme="minorHAnsi" w:eastAsiaTheme="minorEastAsia" w:hAnsiTheme="minorHAnsi" w:cstheme="minorHAnsi"/>
          <w:i/>
          <w:iCs/>
          <w:sz w:val="18"/>
          <w:szCs w:val="18"/>
        </w:rPr>
        <w:t xml:space="preserve">Neuropeptides </w:t>
      </w:r>
      <w:r w:rsidRPr="00531F75">
        <w:rPr>
          <w:rFonts w:asciiTheme="minorHAnsi" w:eastAsiaTheme="minorEastAsia" w:hAnsiTheme="minorHAnsi" w:cstheme="minorHAnsi"/>
          <w:b/>
          <w:bCs/>
          <w:sz w:val="18"/>
          <w:szCs w:val="18"/>
        </w:rPr>
        <w:t>41</w:t>
      </w:r>
      <w:r w:rsidRPr="00531F75">
        <w:rPr>
          <w:rFonts w:asciiTheme="minorHAnsi" w:eastAsiaTheme="minorEastAsia" w:hAnsiTheme="minorHAnsi" w:cstheme="minorHAnsi"/>
          <w:sz w:val="18"/>
          <w:szCs w:val="18"/>
        </w:rPr>
        <w:t>(5)</w:t>
      </w:r>
      <w:r w:rsidRPr="00531F75">
        <w:rPr>
          <w:rFonts w:asciiTheme="minorHAnsi" w:eastAsiaTheme="minorEastAsia" w:hAnsiTheme="minorHAnsi" w:cstheme="minorHAnsi"/>
          <w:b/>
          <w:bCs/>
          <w:sz w:val="18"/>
          <w:szCs w:val="18"/>
        </w:rPr>
        <w:t xml:space="preserve">: </w:t>
      </w:r>
      <w:r w:rsidRPr="00531F75">
        <w:rPr>
          <w:rFonts w:asciiTheme="minorHAnsi" w:eastAsiaTheme="minorEastAsia" w:hAnsiTheme="minorHAnsi" w:cstheme="minorHAnsi"/>
          <w:sz w:val="18"/>
          <w:szCs w:val="18"/>
        </w:rPr>
        <w:t>271-283.</w:t>
      </w:r>
      <w:r w:rsidRPr="00531F75">
        <w:rPr>
          <w:rFonts w:asciiTheme="minorHAnsi" w:hAnsiTheme="minorHAnsi" w:cstheme="minorHAnsi"/>
          <w:sz w:val="18"/>
          <w:szCs w:val="18"/>
        </w:rPr>
        <w:t xml:space="preserve"> </w:t>
      </w:r>
    </w:p>
    <w:p w:rsidR="00A57D73" w:rsidRPr="00531F75" w:rsidRDefault="00A57D73" w:rsidP="00A57D73">
      <w:pPr>
        <w:pStyle w:val="a4"/>
        <w:numPr>
          <w:ilvl w:val="0"/>
          <w:numId w:val="3"/>
        </w:numPr>
        <w:autoSpaceDE w:val="0"/>
        <w:autoSpaceDN w:val="0"/>
        <w:adjustRightInd w:val="0"/>
        <w:spacing w:before="85" w:line="216" w:lineRule="exact"/>
        <w:ind w:right="138"/>
        <w:rPr>
          <w:rFonts w:asciiTheme="minorHAnsi" w:hAnsiTheme="minorHAnsi" w:cstheme="minorHAnsi"/>
          <w:b/>
          <w:bCs/>
          <w:sz w:val="18"/>
          <w:szCs w:val="18"/>
          <w:u w:val="single"/>
        </w:rPr>
      </w:pPr>
      <w:r w:rsidRPr="00531F75">
        <w:rPr>
          <w:rFonts w:asciiTheme="minorHAnsi" w:eastAsiaTheme="minorEastAsia" w:hAnsiTheme="minorHAnsi" w:cstheme="minorHAnsi"/>
          <w:sz w:val="18"/>
          <w:szCs w:val="18"/>
        </w:rPr>
        <w:t xml:space="preserve">Liu D, Jiang L-S, Dai L-Y (2007). Substance P and its receptors in bone metabolism. </w:t>
      </w:r>
      <w:r w:rsidRPr="00531F75">
        <w:rPr>
          <w:rFonts w:asciiTheme="minorHAnsi" w:eastAsiaTheme="minorEastAsia" w:hAnsiTheme="minorHAnsi" w:cstheme="minorHAnsi"/>
          <w:i/>
          <w:iCs/>
          <w:sz w:val="18"/>
          <w:szCs w:val="18"/>
        </w:rPr>
        <w:t xml:space="preserve">Neuropeptides </w:t>
      </w:r>
      <w:r w:rsidRPr="00531F75">
        <w:rPr>
          <w:rFonts w:asciiTheme="minorHAnsi" w:eastAsiaTheme="minorEastAsia" w:hAnsiTheme="minorHAnsi" w:cstheme="minorHAnsi"/>
          <w:b/>
          <w:bCs/>
          <w:sz w:val="18"/>
          <w:szCs w:val="18"/>
        </w:rPr>
        <w:t>41</w:t>
      </w:r>
      <w:r w:rsidRPr="00531F75">
        <w:rPr>
          <w:rFonts w:asciiTheme="minorHAnsi" w:eastAsiaTheme="minorEastAsia" w:hAnsiTheme="minorHAnsi" w:cstheme="minorHAnsi"/>
          <w:sz w:val="18"/>
          <w:szCs w:val="18"/>
        </w:rPr>
        <w:t>(5)</w:t>
      </w:r>
      <w:r w:rsidRPr="00531F75">
        <w:rPr>
          <w:rFonts w:asciiTheme="minorHAnsi" w:eastAsiaTheme="minorEastAsia" w:hAnsiTheme="minorHAnsi" w:cstheme="minorHAnsi"/>
          <w:b/>
          <w:bCs/>
          <w:sz w:val="18"/>
          <w:szCs w:val="18"/>
        </w:rPr>
        <w:t xml:space="preserve">: </w:t>
      </w:r>
      <w:r w:rsidRPr="00531F75">
        <w:rPr>
          <w:rFonts w:asciiTheme="minorHAnsi" w:eastAsiaTheme="minorEastAsia" w:hAnsiTheme="minorHAnsi" w:cstheme="minorHAnsi"/>
          <w:sz w:val="18"/>
          <w:szCs w:val="18"/>
        </w:rPr>
        <w:t>271-283.</w:t>
      </w:r>
    </w:p>
    <w:p w:rsidR="00FB338F" w:rsidRPr="00531F75" w:rsidRDefault="00320293" w:rsidP="00A57D73">
      <w:pPr>
        <w:pStyle w:val="a4"/>
        <w:numPr>
          <w:ilvl w:val="0"/>
          <w:numId w:val="3"/>
        </w:numPr>
        <w:tabs>
          <w:tab w:val="left" w:pos="384"/>
        </w:tabs>
        <w:spacing w:line="216" w:lineRule="exact"/>
        <w:ind w:right="137" w:hanging="283"/>
        <w:rPr>
          <w:rFonts w:asciiTheme="minorHAnsi" w:hAnsiTheme="minorHAnsi" w:cstheme="minorHAnsi"/>
          <w:b/>
          <w:bCs/>
          <w:sz w:val="18"/>
          <w:szCs w:val="18"/>
          <w:u w:val="single"/>
        </w:rPr>
      </w:pPr>
      <w:r w:rsidRPr="00531F75">
        <w:rPr>
          <w:rFonts w:asciiTheme="minorHAnsi" w:hAnsiTheme="minorHAnsi" w:cstheme="minorHAnsi"/>
          <w:sz w:val="18"/>
          <w:szCs w:val="18"/>
        </w:rPr>
        <w:t>Uematsu T, Sakai A, Ito H, Suzuki H (2011). Intra-articular administration of tachykinin NK1 receptor antagonists reduces hyperalgesia and cartilage destruction in the inflammatory joint in rats with adjuvant-induced arthritis. European Journal of Pharmacology 668(1–2): 163-168</w:t>
      </w:r>
      <w:r w:rsidR="00976CEB" w:rsidRPr="00531F75">
        <w:rPr>
          <w:rFonts w:asciiTheme="minorHAnsi" w:hAnsiTheme="minorHAnsi" w:cstheme="minorHAnsi"/>
          <w:sz w:val="18"/>
          <w:szCs w:val="18"/>
        </w:rPr>
        <w:t xml:space="preserve"> </w:t>
      </w:r>
    </w:p>
    <w:p w:rsidR="00A57D73" w:rsidRPr="00976CEB" w:rsidRDefault="00A57D73" w:rsidP="00A57D73">
      <w:pPr>
        <w:pStyle w:val="a4"/>
        <w:numPr>
          <w:ilvl w:val="0"/>
          <w:numId w:val="3"/>
        </w:numPr>
        <w:tabs>
          <w:tab w:val="left" w:pos="384"/>
        </w:tabs>
        <w:spacing w:line="216" w:lineRule="exact"/>
        <w:ind w:right="137" w:hanging="283"/>
        <w:rPr>
          <w:b/>
          <w:bCs/>
          <w:sz w:val="18"/>
          <w:szCs w:val="18"/>
          <w:u w:val="single"/>
        </w:rPr>
        <w:sectPr w:rsidR="00A57D73" w:rsidRPr="00976CEB">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b/>
          <w:bCs/>
          <w:sz w:val="20"/>
        </w:rPr>
      </w:pPr>
    </w:p>
    <w:p w:rsidR="00C91F3F" w:rsidRDefault="00C91F3F">
      <w:pPr>
        <w:pStyle w:val="a3"/>
        <w:rPr>
          <w:rFonts w:ascii="Calibri"/>
          <w:b/>
          <w:bCs/>
          <w:sz w:val="20"/>
        </w:rPr>
      </w:pPr>
    </w:p>
    <w:p w:rsidR="00C91F3F" w:rsidRPr="004F48EC" w:rsidRDefault="00C91F3F">
      <w:pPr>
        <w:pStyle w:val="a3"/>
        <w:rPr>
          <w:rFonts w:ascii="Calibri"/>
          <w:b/>
          <w:bCs/>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4D14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CC2FB8" w:rsidP="00404E5B">
      <w:pPr>
        <w:spacing w:before="92"/>
        <w:ind w:right="4234"/>
        <w:rPr>
          <w:rFonts w:ascii="Arial"/>
        </w:rPr>
      </w:pPr>
      <w:r>
        <w:rPr>
          <w:noProof/>
        </w:rPr>
        <w:drawing>
          <wp:anchor distT="0" distB="0" distL="114300" distR="114300" simplePos="0" relativeHeight="251658240" behindDoc="0" locked="0" layoutInCell="1" allowOverlap="1" wp14:anchorId="5D3211F3">
            <wp:simplePos x="0" y="0"/>
            <wp:positionH relativeFrom="margin">
              <wp:posOffset>-5773</wp:posOffset>
            </wp:positionH>
            <wp:positionV relativeFrom="paragraph">
              <wp:posOffset>60152</wp:posOffset>
            </wp:positionV>
            <wp:extent cx="832419" cy="838200"/>
            <wp:effectExtent l="0" t="0" r="6350" b="0"/>
            <wp:wrapThrough wrapText="bothSides">
              <wp:wrapPolygon edited="0">
                <wp:start x="0" y="0"/>
                <wp:lineTo x="0" y="21109"/>
                <wp:lineTo x="21270" y="21109"/>
                <wp:lineTo x="21270" y="0"/>
                <wp:lineTo x="0" y="0"/>
              </wp:wrapPolygon>
            </wp:wrapThrough>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32419" cy="838200"/>
                    </a:xfrm>
                    <a:prstGeom prst="rect">
                      <a:avLst/>
                    </a:prstGeom>
                  </pic:spPr>
                </pic:pic>
              </a:graphicData>
            </a:graphic>
            <wp14:sizeRelH relativeFrom="page">
              <wp14:pctWidth>0</wp14:pctWidth>
            </wp14:sizeRelH>
            <wp14:sizeRelV relativeFrom="page">
              <wp14:pctHeight>0</wp14:pctHeight>
            </wp14:sizeRelV>
          </wp:anchor>
        </w:drawing>
      </w:r>
    </w:p>
    <w:p w:rsidR="008D1753" w:rsidRPr="008D1753" w:rsidRDefault="008D1753" w:rsidP="008D1753">
      <w:pPr>
        <w:pStyle w:val="a9"/>
        <w:rPr>
          <w:rFonts w:ascii="Arial" w:hAnsi="Arial" w:cs="Arial"/>
          <w:sz w:val="14"/>
          <w:szCs w:val="14"/>
        </w:rPr>
      </w:pPr>
      <w:r w:rsidRPr="008D1753">
        <w:rPr>
          <w:rFonts w:ascii="Arial" w:eastAsia="함초롬바탕" w:hAnsi="Arial" w:cs="Arial"/>
          <w:sz w:val="14"/>
          <w:szCs w:val="14"/>
        </w:rPr>
        <w:t>Junesun Kim is P.T. and Ph.D. in Physiology. She is a professor at Department of Physical Therapy Korea University College of Health Science. Her major fields of academic interest are the peripheral and central mechanisms of chronic pain, and regenerative mechanisms governing spinal cord injury. She has several publications in in peer-reviewed journals. She provides continuing education lectures regarding neurological physical therapy for SCI and mechanisms of chronic and pathologic pain to student majoring in rehabilitation science at graduate program.</w:t>
      </w:r>
    </w:p>
    <w:p w:rsidR="000F3D73" w:rsidRPr="000F3D73" w:rsidRDefault="00A9710C" w:rsidP="000F3D73">
      <w:pPr>
        <w:spacing w:before="62"/>
        <w:ind w:left="4217" w:right="4235"/>
        <w:rPr>
          <w:rFonts w:ascii="맑은 고딕" w:eastAsia="맑은 고딕" w:hAnsi="맑은 고딕" w:cs="맑은 고딕"/>
          <w:sz w:val="14"/>
          <w:lang w:eastAsia="ko-KR"/>
        </w:rPr>
      </w:pPr>
      <w:r>
        <w:rPr>
          <w:rFonts w:ascii="Arial"/>
          <w:sz w:val="14"/>
        </w:rPr>
        <w:t xml:space="preserve">Email: </w:t>
      </w:r>
      <w:r w:rsidR="009970DF">
        <w:rPr>
          <w:rFonts w:ascii="맑은 고딕" w:eastAsia="맑은 고딕" w:hAnsi="맑은 고딕" w:cs="맑은 고딕" w:hint="eastAsia"/>
          <w:sz w:val="14"/>
          <w:lang w:eastAsia="ko-KR"/>
        </w:rPr>
        <w:t>j</w:t>
      </w:r>
      <w:r w:rsidR="009970DF">
        <w:rPr>
          <w:rFonts w:ascii="맑은 고딕" w:eastAsia="맑은 고딕" w:hAnsi="맑은 고딕" w:cs="맑은 고딕"/>
          <w:sz w:val="14"/>
          <w:lang w:eastAsia="ko-KR"/>
        </w:rPr>
        <w:t>u</w:t>
      </w:r>
      <w:r w:rsidR="00A66842">
        <w:rPr>
          <w:rFonts w:ascii="맑은 고딕" w:eastAsia="맑은 고딕" w:hAnsi="맑은 고딕" w:cs="맑은 고딕"/>
          <w:sz w:val="14"/>
          <w:lang w:eastAsia="ko-KR"/>
        </w:rPr>
        <w:t>n</w:t>
      </w:r>
      <w:r w:rsidR="009970DF">
        <w:rPr>
          <w:rFonts w:ascii="맑은 고딕" w:eastAsia="맑은 고딕" w:hAnsi="맑은 고딕" w:cs="맑은 고딕"/>
          <w:sz w:val="14"/>
          <w:lang w:eastAsia="ko-KR"/>
        </w:rPr>
        <w:t>okim@korea.ac.kr</w:t>
      </w:r>
    </w:p>
    <w:p w:rsidR="00AE3E37" w:rsidRPr="00CA310F" w:rsidRDefault="00F36FDB" w:rsidP="00CA310F">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2B29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7354F6" w:rsidRDefault="00A9710C" w:rsidP="007354F6">
      <w:pPr>
        <w:spacing w:before="39"/>
        <w:ind w:left="100"/>
        <w:rPr>
          <w:rFonts w:ascii="Minion Pro"/>
          <w:b/>
          <w:sz w:val="20"/>
        </w:rPr>
      </w:pPr>
      <w:r w:rsidRPr="00B21A57">
        <w:rPr>
          <w:rFonts w:ascii="Minion Pro"/>
          <w:b/>
          <w:sz w:val="20"/>
        </w:rPr>
        <w:t>Notes/Comments:</w:t>
      </w:r>
      <w:r w:rsidR="000F3D73">
        <w:rPr>
          <w:rFonts w:ascii="Minion Pro"/>
          <w:b/>
          <w:sz w:val="20"/>
        </w:rPr>
        <w:t xml:space="preserve">   </w:t>
      </w:r>
    </w:p>
    <w:p w:rsidR="00AE3E37" w:rsidRPr="000F3D73" w:rsidRDefault="007354F6" w:rsidP="007354F6">
      <w:pPr>
        <w:spacing w:before="39"/>
        <w:ind w:left="100"/>
        <w:rPr>
          <w:rFonts w:ascii="Minion Pro"/>
          <w:b/>
          <w:sz w:val="20"/>
        </w:rPr>
        <w:sectPr w:rsidR="00AE3E37" w:rsidRPr="000F3D73">
          <w:type w:val="continuous"/>
          <w:pgSz w:w="11910" w:h="16840"/>
          <w:pgMar w:top="1740" w:right="600" w:bottom="840" w:left="620" w:header="720" w:footer="720" w:gutter="0"/>
          <w:cols w:space="720"/>
        </w:sectPr>
      </w:pPr>
      <w:r>
        <w:rPr>
          <w:rFonts w:ascii="Minion Pro"/>
          <w:b/>
          <w:sz w:val="20"/>
        </w:rPr>
        <w:t xml:space="preserve">Acknowledgement: </w:t>
      </w:r>
      <w:r w:rsidR="000F3D73" w:rsidRPr="00D12A48">
        <w:rPr>
          <w:rFonts w:ascii="Minion Pro" w:hAnsi="Minion Pro"/>
          <w:b/>
          <w:bCs/>
          <w:sz w:val="20"/>
          <w:szCs w:val="20"/>
        </w:rPr>
        <w:t>This work was supported by the convergence technology development program for bionic arm</w:t>
      </w:r>
      <w:r w:rsidR="00AF377E" w:rsidRPr="00D12A48">
        <w:rPr>
          <w:rFonts w:ascii="Minion Pro" w:hAnsi="Minion Pro"/>
          <w:b/>
          <w:bCs/>
          <w:sz w:val="20"/>
          <w:szCs w:val="20"/>
        </w:rPr>
        <w:t>(2014M3C1B2048632)</w:t>
      </w:r>
      <w:r w:rsidR="00AF377E">
        <w:rPr>
          <w:rFonts w:ascii="Minion Pro" w:hAnsi="Minion Pro"/>
          <w:b/>
          <w:bCs/>
          <w:sz w:val="20"/>
          <w:szCs w:val="20"/>
        </w:rPr>
        <w:t>,</w:t>
      </w:r>
      <w:r w:rsidR="00AF377E" w:rsidRPr="00AF377E">
        <w:rPr>
          <w:rFonts w:ascii="Minion Pro" w:hAnsi="Minion Pro"/>
          <w:b/>
          <w:bCs/>
          <w:sz w:val="20"/>
          <w:szCs w:val="20"/>
        </w:rPr>
        <w:t xml:space="preserve"> </w:t>
      </w:r>
      <w:r w:rsidR="00AF377E" w:rsidRPr="00D12A48">
        <w:rPr>
          <w:rFonts w:ascii="Minion Pro" w:hAnsi="Minion Pro"/>
          <w:b/>
          <w:bCs/>
          <w:sz w:val="20"/>
          <w:szCs w:val="20"/>
        </w:rPr>
        <w:t>(2017M3C1B2085303)</w:t>
      </w:r>
      <w:r w:rsidR="000F3D73" w:rsidRPr="00D12A48">
        <w:rPr>
          <w:rFonts w:ascii="Minion Pro" w:hAnsi="Minion Pro"/>
          <w:b/>
          <w:bCs/>
          <w:sz w:val="20"/>
          <w:szCs w:val="20"/>
        </w:rPr>
        <w:t xml:space="preserve"> and by the Basic Science Research Program </w:t>
      </w:r>
      <w:r w:rsidR="00AF377E" w:rsidRPr="00D12A48">
        <w:rPr>
          <w:rFonts w:ascii="Minion Pro" w:hAnsi="Minion Pro"/>
          <w:b/>
          <w:bCs/>
          <w:sz w:val="20"/>
          <w:szCs w:val="20"/>
        </w:rPr>
        <w:t>(2019R1</w:t>
      </w:r>
      <w:r w:rsidR="00AF377E">
        <w:rPr>
          <w:rFonts w:ascii="Minion Pro" w:hAnsi="Minion Pro"/>
          <w:b/>
          <w:bCs/>
          <w:sz w:val="20"/>
          <w:szCs w:val="20"/>
        </w:rPr>
        <w:t>I</w:t>
      </w:r>
      <w:r w:rsidR="00AF377E" w:rsidRPr="00D12A48">
        <w:rPr>
          <w:rFonts w:ascii="Minion Pro" w:hAnsi="Minion Pro"/>
          <w:b/>
          <w:bCs/>
          <w:sz w:val="20"/>
          <w:szCs w:val="20"/>
        </w:rPr>
        <w:t>1A2A01060115)</w:t>
      </w:r>
      <w:r w:rsidR="00AF377E">
        <w:rPr>
          <w:rFonts w:ascii="Minion Pro" w:hAnsi="Minion Pro"/>
          <w:b/>
          <w:bCs/>
          <w:sz w:val="20"/>
          <w:szCs w:val="20"/>
        </w:rPr>
        <w:t xml:space="preserve"> </w:t>
      </w:r>
      <w:r w:rsidR="000F3D73" w:rsidRPr="00D12A48">
        <w:rPr>
          <w:rFonts w:ascii="Minion Pro" w:hAnsi="Minion Pro"/>
          <w:b/>
          <w:bCs/>
          <w:sz w:val="20"/>
          <w:szCs w:val="20"/>
        </w:rPr>
        <w:t xml:space="preserve">through the National </w:t>
      </w:r>
      <w:r w:rsidR="00AF377E">
        <w:rPr>
          <w:rFonts w:ascii="Minion Pro" w:hAnsi="Minion Pro"/>
          <w:b/>
          <w:bCs/>
          <w:sz w:val="20"/>
          <w:szCs w:val="20"/>
        </w:rPr>
        <w:t>r</w:t>
      </w:r>
      <w:r w:rsidR="000F3D73" w:rsidRPr="00D12A48">
        <w:rPr>
          <w:rFonts w:ascii="Minion Pro" w:hAnsi="Minion Pro"/>
          <w:b/>
          <w:bCs/>
          <w:sz w:val="20"/>
          <w:szCs w:val="20"/>
        </w:rPr>
        <w:t>esearch Foundation of Korea (NRF) funded by the Ministry of Science, ICT &amp; Future Planning</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0FC9" w:rsidRDefault="00920FC9">
      <w:r>
        <w:separator/>
      </w:r>
    </w:p>
  </w:endnote>
  <w:endnote w:type="continuationSeparator" w:id="0">
    <w:p w:rsidR="00920FC9" w:rsidRDefault="009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0FC9" w:rsidRDefault="00920FC9">
      <w:r>
        <w:separator/>
      </w:r>
    </w:p>
  </w:footnote>
  <w:footnote w:type="continuationSeparator" w:id="0">
    <w:p w:rsidR="00920FC9" w:rsidRDefault="00920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6540A042"/>
    <w:lvl w:ilvl="0" w:tplc="85D82F82">
      <w:start w:val="1"/>
      <w:numFmt w:val="decimal"/>
      <w:lvlText w:val="%1."/>
      <w:lvlJc w:val="left"/>
      <w:pPr>
        <w:ind w:left="383" w:hanging="284"/>
      </w:pPr>
      <w:rPr>
        <w:rFonts w:ascii="Calibri" w:eastAsia="Calibri" w:hAnsi="Calibri" w:cs="Calibri" w:hint="default"/>
        <w:b w:val="0"/>
        <w:bCs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21E549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A132541"/>
    <w:multiLevelType w:val="hybridMultilevel"/>
    <w:tmpl w:val="E292953C"/>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5C474AEF"/>
    <w:multiLevelType w:val="hybridMultilevel"/>
    <w:tmpl w:val="D7A0D22C"/>
    <w:lvl w:ilvl="0" w:tplc="0409000F">
      <w:start w:val="1"/>
      <w:numFmt w:val="decimal"/>
      <w:lvlText w:val="%1."/>
      <w:lvlJc w:val="left"/>
      <w:pPr>
        <w:ind w:left="900" w:hanging="400"/>
      </w:pPr>
    </w:lvl>
    <w:lvl w:ilvl="1" w:tplc="04090019" w:tentative="1">
      <w:start w:val="1"/>
      <w:numFmt w:val="upperLetter"/>
      <w:lvlText w:val="%2."/>
      <w:lvlJc w:val="left"/>
      <w:pPr>
        <w:ind w:left="1300" w:hanging="400"/>
      </w:pPr>
    </w:lvl>
    <w:lvl w:ilvl="2" w:tplc="0409001B" w:tentative="1">
      <w:start w:val="1"/>
      <w:numFmt w:val="lowerRoman"/>
      <w:lvlText w:val="%3."/>
      <w:lvlJc w:val="right"/>
      <w:pPr>
        <w:ind w:left="1700" w:hanging="400"/>
      </w:pPr>
    </w:lvl>
    <w:lvl w:ilvl="3" w:tplc="0409000F" w:tentative="1">
      <w:start w:val="1"/>
      <w:numFmt w:val="decimal"/>
      <w:lvlText w:val="%4."/>
      <w:lvlJc w:val="left"/>
      <w:pPr>
        <w:ind w:left="2100" w:hanging="400"/>
      </w:pPr>
    </w:lvl>
    <w:lvl w:ilvl="4" w:tplc="04090019" w:tentative="1">
      <w:start w:val="1"/>
      <w:numFmt w:val="upperLetter"/>
      <w:lvlText w:val="%5."/>
      <w:lvlJc w:val="left"/>
      <w:pPr>
        <w:ind w:left="2500" w:hanging="400"/>
      </w:pPr>
    </w:lvl>
    <w:lvl w:ilvl="5" w:tplc="0409001B" w:tentative="1">
      <w:start w:val="1"/>
      <w:numFmt w:val="lowerRoman"/>
      <w:lvlText w:val="%6."/>
      <w:lvlJc w:val="right"/>
      <w:pPr>
        <w:ind w:left="2900" w:hanging="400"/>
      </w:pPr>
    </w:lvl>
    <w:lvl w:ilvl="6" w:tplc="0409000F" w:tentative="1">
      <w:start w:val="1"/>
      <w:numFmt w:val="decimal"/>
      <w:lvlText w:val="%7."/>
      <w:lvlJc w:val="left"/>
      <w:pPr>
        <w:ind w:left="3300" w:hanging="400"/>
      </w:pPr>
    </w:lvl>
    <w:lvl w:ilvl="7" w:tplc="04090019" w:tentative="1">
      <w:start w:val="1"/>
      <w:numFmt w:val="upperLetter"/>
      <w:lvlText w:val="%8."/>
      <w:lvlJc w:val="left"/>
      <w:pPr>
        <w:ind w:left="3700" w:hanging="400"/>
      </w:pPr>
    </w:lvl>
    <w:lvl w:ilvl="8" w:tplc="0409001B" w:tentative="1">
      <w:start w:val="1"/>
      <w:numFmt w:val="lowerRoman"/>
      <w:lvlText w:val="%9."/>
      <w:lvlJc w:val="right"/>
      <w:pPr>
        <w:ind w:left="4100" w:hanging="400"/>
      </w:pPr>
    </w:lvl>
  </w:abstractNum>
  <w:abstractNum w:abstractNumId="5" w15:restartNumberingAfterBreak="0">
    <w:nsid w:val="68346DEA"/>
    <w:multiLevelType w:val="hybridMultilevel"/>
    <w:tmpl w:val="E6946770"/>
    <w:lvl w:ilvl="0" w:tplc="0409000F">
      <w:start w:val="1"/>
      <w:numFmt w:val="decimal"/>
      <w:lvlText w:val="%1."/>
      <w:lvlJc w:val="left"/>
      <w:pPr>
        <w:ind w:left="900" w:hanging="400"/>
      </w:pPr>
    </w:lvl>
    <w:lvl w:ilvl="1" w:tplc="04090019" w:tentative="1">
      <w:start w:val="1"/>
      <w:numFmt w:val="upperLetter"/>
      <w:lvlText w:val="%2."/>
      <w:lvlJc w:val="left"/>
      <w:pPr>
        <w:ind w:left="1300" w:hanging="400"/>
      </w:pPr>
    </w:lvl>
    <w:lvl w:ilvl="2" w:tplc="0409001B" w:tentative="1">
      <w:start w:val="1"/>
      <w:numFmt w:val="lowerRoman"/>
      <w:lvlText w:val="%3."/>
      <w:lvlJc w:val="right"/>
      <w:pPr>
        <w:ind w:left="1700" w:hanging="400"/>
      </w:pPr>
    </w:lvl>
    <w:lvl w:ilvl="3" w:tplc="0409000F" w:tentative="1">
      <w:start w:val="1"/>
      <w:numFmt w:val="decimal"/>
      <w:lvlText w:val="%4."/>
      <w:lvlJc w:val="left"/>
      <w:pPr>
        <w:ind w:left="2100" w:hanging="400"/>
      </w:pPr>
    </w:lvl>
    <w:lvl w:ilvl="4" w:tplc="04090019" w:tentative="1">
      <w:start w:val="1"/>
      <w:numFmt w:val="upperLetter"/>
      <w:lvlText w:val="%5."/>
      <w:lvlJc w:val="left"/>
      <w:pPr>
        <w:ind w:left="2500" w:hanging="400"/>
      </w:pPr>
    </w:lvl>
    <w:lvl w:ilvl="5" w:tplc="0409001B" w:tentative="1">
      <w:start w:val="1"/>
      <w:numFmt w:val="lowerRoman"/>
      <w:lvlText w:val="%6."/>
      <w:lvlJc w:val="right"/>
      <w:pPr>
        <w:ind w:left="2900" w:hanging="400"/>
      </w:pPr>
    </w:lvl>
    <w:lvl w:ilvl="6" w:tplc="0409000F" w:tentative="1">
      <w:start w:val="1"/>
      <w:numFmt w:val="decimal"/>
      <w:lvlText w:val="%7."/>
      <w:lvlJc w:val="left"/>
      <w:pPr>
        <w:ind w:left="3300" w:hanging="400"/>
      </w:pPr>
    </w:lvl>
    <w:lvl w:ilvl="7" w:tplc="04090019" w:tentative="1">
      <w:start w:val="1"/>
      <w:numFmt w:val="upperLetter"/>
      <w:lvlText w:val="%8."/>
      <w:lvlJc w:val="left"/>
      <w:pPr>
        <w:ind w:left="3700" w:hanging="400"/>
      </w:pPr>
    </w:lvl>
    <w:lvl w:ilvl="8" w:tplc="0409001B" w:tentative="1">
      <w:start w:val="1"/>
      <w:numFmt w:val="lowerRoman"/>
      <w:lvlText w:val="%9."/>
      <w:lvlJc w:val="right"/>
      <w:pPr>
        <w:ind w:left="4100" w:hanging="40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25D85"/>
    <w:rsid w:val="00036D4F"/>
    <w:rsid w:val="000431DF"/>
    <w:rsid w:val="00075E65"/>
    <w:rsid w:val="000A7450"/>
    <w:rsid w:val="000A7EDD"/>
    <w:rsid w:val="000E2911"/>
    <w:rsid w:val="000F3D73"/>
    <w:rsid w:val="001019CF"/>
    <w:rsid w:val="00120475"/>
    <w:rsid w:val="001251D5"/>
    <w:rsid w:val="001263D9"/>
    <w:rsid w:val="001263DF"/>
    <w:rsid w:val="001314BF"/>
    <w:rsid w:val="00142948"/>
    <w:rsid w:val="00160009"/>
    <w:rsid w:val="001670B4"/>
    <w:rsid w:val="00175E3F"/>
    <w:rsid w:val="001A3EAC"/>
    <w:rsid w:val="001C37EF"/>
    <w:rsid w:val="001E51E3"/>
    <w:rsid w:val="001E763C"/>
    <w:rsid w:val="0026635D"/>
    <w:rsid w:val="002760D9"/>
    <w:rsid w:val="00292ED9"/>
    <w:rsid w:val="002F2F82"/>
    <w:rsid w:val="00314AFB"/>
    <w:rsid w:val="00320293"/>
    <w:rsid w:val="00324898"/>
    <w:rsid w:val="00357622"/>
    <w:rsid w:val="003750D5"/>
    <w:rsid w:val="003B76D9"/>
    <w:rsid w:val="003D0F78"/>
    <w:rsid w:val="003D392D"/>
    <w:rsid w:val="00401FFE"/>
    <w:rsid w:val="00404E5B"/>
    <w:rsid w:val="00414F7B"/>
    <w:rsid w:val="00417BE3"/>
    <w:rsid w:val="004355DC"/>
    <w:rsid w:val="00456B8B"/>
    <w:rsid w:val="004749B4"/>
    <w:rsid w:val="00494130"/>
    <w:rsid w:val="004B0FD2"/>
    <w:rsid w:val="004D052D"/>
    <w:rsid w:val="004E2F77"/>
    <w:rsid w:val="004E7AFB"/>
    <w:rsid w:val="004F14AF"/>
    <w:rsid w:val="004F19CF"/>
    <w:rsid w:val="004F3523"/>
    <w:rsid w:val="004F48EC"/>
    <w:rsid w:val="004F7C0B"/>
    <w:rsid w:val="00505A64"/>
    <w:rsid w:val="005274E5"/>
    <w:rsid w:val="00531F75"/>
    <w:rsid w:val="00536FB9"/>
    <w:rsid w:val="005973B9"/>
    <w:rsid w:val="005B3A56"/>
    <w:rsid w:val="006060CE"/>
    <w:rsid w:val="0063497F"/>
    <w:rsid w:val="0066153D"/>
    <w:rsid w:val="006623EB"/>
    <w:rsid w:val="006D060E"/>
    <w:rsid w:val="006E002C"/>
    <w:rsid w:val="007354F6"/>
    <w:rsid w:val="00737A91"/>
    <w:rsid w:val="00783C3A"/>
    <w:rsid w:val="0078738A"/>
    <w:rsid w:val="007D2CB1"/>
    <w:rsid w:val="007D3B64"/>
    <w:rsid w:val="007D3DD9"/>
    <w:rsid w:val="007D44A0"/>
    <w:rsid w:val="007F1A84"/>
    <w:rsid w:val="007F6B9B"/>
    <w:rsid w:val="00826ACB"/>
    <w:rsid w:val="00827937"/>
    <w:rsid w:val="00844796"/>
    <w:rsid w:val="00850B06"/>
    <w:rsid w:val="00863DDB"/>
    <w:rsid w:val="00873DF0"/>
    <w:rsid w:val="00874046"/>
    <w:rsid w:val="008756E6"/>
    <w:rsid w:val="00875A73"/>
    <w:rsid w:val="008940BB"/>
    <w:rsid w:val="008A39B3"/>
    <w:rsid w:val="008B0593"/>
    <w:rsid w:val="008D1753"/>
    <w:rsid w:val="008E084A"/>
    <w:rsid w:val="008E4D2E"/>
    <w:rsid w:val="00904CFF"/>
    <w:rsid w:val="00920FC9"/>
    <w:rsid w:val="0092349D"/>
    <w:rsid w:val="00946961"/>
    <w:rsid w:val="00976CEB"/>
    <w:rsid w:val="00991CA2"/>
    <w:rsid w:val="009970DF"/>
    <w:rsid w:val="009B2D44"/>
    <w:rsid w:val="00A07E82"/>
    <w:rsid w:val="00A1411E"/>
    <w:rsid w:val="00A20D5C"/>
    <w:rsid w:val="00A57D73"/>
    <w:rsid w:val="00A66842"/>
    <w:rsid w:val="00A96B3B"/>
    <w:rsid w:val="00A9710C"/>
    <w:rsid w:val="00AA5710"/>
    <w:rsid w:val="00AA72F8"/>
    <w:rsid w:val="00AC1822"/>
    <w:rsid w:val="00AD110D"/>
    <w:rsid w:val="00AE3E37"/>
    <w:rsid w:val="00AF102B"/>
    <w:rsid w:val="00AF377E"/>
    <w:rsid w:val="00B02C08"/>
    <w:rsid w:val="00B03795"/>
    <w:rsid w:val="00B21A57"/>
    <w:rsid w:val="00B80B97"/>
    <w:rsid w:val="00B84520"/>
    <w:rsid w:val="00BB432E"/>
    <w:rsid w:val="00BC79BD"/>
    <w:rsid w:val="00BD3F8D"/>
    <w:rsid w:val="00C17713"/>
    <w:rsid w:val="00C33602"/>
    <w:rsid w:val="00C35E4A"/>
    <w:rsid w:val="00C43260"/>
    <w:rsid w:val="00C46C79"/>
    <w:rsid w:val="00C70949"/>
    <w:rsid w:val="00C82E2D"/>
    <w:rsid w:val="00C91EDE"/>
    <w:rsid w:val="00C91F3F"/>
    <w:rsid w:val="00CA310F"/>
    <w:rsid w:val="00CA5F13"/>
    <w:rsid w:val="00CB5B8B"/>
    <w:rsid w:val="00CC2FB8"/>
    <w:rsid w:val="00CC5634"/>
    <w:rsid w:val="00CD6F55"/>
    <w:rsid w:val="00D067D4"/>
    <w:rsid w:val="00D07FB6"/>
    <w:rsid w:val="00D12A48"/>
    <w:rsid w:val="00D46F63"/>
    <w:rsid w:val="00D62425"/>
    <w:rsid w:val="00D63BB5"/>
    <w:rsid w:val="00D64851"/>
    <w:rsid w:val="00DB08AE"/>
    <w:rsid w:val="00DB5BB8"/>
    <w:rsid w:val="00DC4988"/>
    <w:rsid w:val="00DE3104"/>
    <w:rsid w:val="00DF1033"/>
    <w:rsid w:val="00E4190C"/>
    <w:rsid w:val="00E57DF3"/>
    <w:rsid w:val="00E772BE"/>
    <w:rsid w:val="00E96DAF"/>
    <w:rsid w:val="00EB448F"/>
    <w:rsid w:val="00ED5DD1"/>
    <w:rsid w:val="00F274A9"/>
    <w:rsid w:val="00F31085"/>
    <w:rsid w:val="00F36FDB"/>
    <w:rsid w:val="00F72EEA"/>
    <w:rsid w:val="00F746BD"/>
    <w:rsid w:val="00F8136A"/>
    <w:rsid w:val="00F84CAE"/>
    <w:rsid w:val="00FB30C1"/>
    <w:rsid w:val="00FB338F"/>
    <w:rsid w:val="00FC0FA8"/>
    <w:rsid w:val="00FC556F"/>
    <w:rsid w:val="00FD715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09C27"/>
  <w15:docId w15:val="{982E05C2-3484-430F-BF83-392B8806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8D1753"/>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character" w:customStyle="1" w:styleId="10">
    <w:name w:val="확인되지 않은 멘션1"/>
    <w:basedOn w:val="a0"/>
    <w:uiPriority w:val="99"/>
    <w:semiHidden/>
    <w:unhideWhenUsed/>
    <w:rsid w:val="000F3D73"/>
    <w:rPr>
      <w:color w:val="605E5C"/>
      <w:shd w:val="clear" w:color="auto" w:fill="E1DFDD"/>
    </w:rPr>
  </w:style>
  <w:style w:type="character" w:styleId="aa">
    <w:name w:val="annotation reference"/>
    <w:basedOn w:val="a0"/>
    <w:uiPriority w:val="99"/>
    <w:semiHidden/>
    <w:unhideWhenUsed/>
    <w:rsid w:val="00357622"/>
    <w:rPr>
      <w:sz w:val="18"/>
      <w:szCs w:val="18"/>
    </w:rPr>
  </w:style>
  <w:style w:type="paragraph" w:styleId="ab">
    <w:name w:val="annotation text"/>
    <w:basedOn w:val="a"/>
    <w:link w:val="Char3"/>
    <w:uiPriority w:val="99"/>
    <w:semiHidden/>
    <w:unhideWhenUsed/>
    <w:rsid w:val="00357622"/>
  </w:style>
  <w:style w:type="character" w:customStyle="1" w:styleId="Char3">
    <w:name w:val="메모 텍스트 Char"/>
    <w:basedOn w:val="a0"/>
    <w:link w:val="ab"/>
    <w:uiPriority w:val="99"/>
    <w:semiHidden/>
    <w:rsid w:val="00357622"/>
    <w:rPr>
      <w:rFonts w:ascii="Tw Cen MT" w:eastAsia="Tw Cen MT" w:hAnsi="Tw Cen MT" w:cs="Tw Cen MT"/>
    </w:rPr>
  </w:style>
  <w:style w:type="paragraph" w:styleId="ac">
    <w:name w:val="annotation subject"/>
    <w:basedOn w:val="ab"/>
    <w:next w:val="ab"/>
    <w:link w:val="Char4"/>
    <w:uiPriority w:val="99"/>
    <w:semiHidden/>
    <w:unhideWhenUsed/>
    <w:rsid w:val="00357622"/>
    <w:rPr>
      <w:b/>
      <w:bCs/>
    </w:rPr>
  </w:style>
  <w:style w:type="character" w:customStyle="1" w:styleId="Char4">
    <w:name w:val="메모 주제 Char"/>
    <w:basedOn w:val="Char3"/>
    <w:link w:val="ac"/>
    <w:uiPriority w:val="99"/>
    <w:semiHidden/>
    <w:rsid w:val="00357622"/>
    <w:rPr>
      <w:rFonts w:ascii="Tw Cen MT" w:eastAsia="Tw Cen MT" w:hAnsi="Tw Cen MT" w:cs="Tw Cen M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386308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666</Words>
  <Characters>3798</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동연</cp:lastModifiedBy>
  <cp:revision>7</cp:revision>
  <dcterms:created xsi:type="dcterms:W3CDTF">2019-10-28T14:03:00Z</dcterms:created>
  <dcterms:modified xsi:type="dcterms:W3CDTF">2019-10-28T14:24:00Z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