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6D6" w:rsidRPr="003469B2" w:rsidRDefault="007E66D6" w:rsidP="00EE38EB">
      <w:pPr>
        <w:bidi/>
        <w:jc w:val="center"/>
        <w:rPr>
          <w:rFonts w:ascii="Minion Pro" w:eastAsia="Times New Roman" w:hAnsi="Minion Pro" w:cs="Times New Roman"/>
          <w:b/>
          <w:bCs/>
          <w:noProof/>
          <w:color w:val="000000"/>
          <w:sz w:val="36"/>
          <w:szCs w:val="36"/>
        </w:rPr>
      </w:pPr>
      <w:r w:rsidRPr="003469B2">
        <w:rPr>
          <w:rFonts w:ascii="Minion Pro" w:eastAsia="Times New Roman" w:hAnsi="Minion Pro" w:cs="Times New Roman"/>
          <w:b/>
          <w:bCs/>
          <w:noProof/>
          <w:color w:val="000000"/>
          <w:sz w:val="36"/>
          <w:szCs w:val="36"/>
        </w:rPr>
        <w:t xml:space="preserve">The Effect of </w:t>
      </w:r>
      <w:r w:rsidRPr="003469B2">
        <w:rPr>
          <w:rFonts w:ascii="Minion Pro" w:eastAsia="Times New Roman" w:hAnsi="Minion Pro" w:cs="Times New Roman"/>
          <w:b/>
          <w:bCs/>
          <w:i/>
          <w:iCs/>
          <w:noProof/>
          <w:color w:val="000000"/>
          <w:sz w:val="36"/>
          <w:szCs w:val="36"/>
        </w:rPr>
        <w:t>Elaeagnus Angustifolia Fruit</w:t>
      </w:r>
      <w:r w:rsidRPr="003469B2">
        <w:rPr>
          <w:rFonts w:ascii="Minion Pro" w:eastAsia="Times New Roman" w:hAnsi="Minion Pro" w:cs="Times New Roman"/>
          <w:b/>
          <w:bCs/>
          <w:noProof/>
          <w:color w:val="000000"/>
          <w:sz w:val="36"/>
          <w:szCs w:val="36"/>
        </w:rPr>
        <w:t xml:space="preserve"> Extract on Arthralgia Pain in Patients with Rheumatoid Arthritis Referring to the Clinic of the Iranian Rheumatism Center in 201</w:t>
      </w:r>
      <w:r w:rsidR="00EE38EB" w:rsidRPr="003469B2">
        <w:rPr>
          <w:rFonts w:ascii="Minion Pro" w:eastAsia="Times New Roman" w:hAnsi="Minion Pro" w:cs="Times New Roman"/>
          <w:b/>
          <w:bCs/>
          <w:noProof/>
          <w:color w:val="000000"/>
          <w:sz w:val="36"/>
          <w:szCs w:val="36"/>
        </w:rPr>
        <w:t>7</w:t>
      </w:r>
      <w:r w:rsidRPr="003469B2">
        <w:rPr>
          <w:rFonts w:ascii="Minion Pro" w:eastAsia="Times New Roman" w:hAnsi="Minion Pro" w:cs="Times New Roman"/>
          <w:b/>
          <w:bCs/>
          <w:noProof/>
          <w:color w:val="000000"/>
          <w:sz w:val="36"/>
          <w:szCs w:val="36"/>
        </w:rPr>
        <w:t>-1</w:t>
      </w:r>
      <w:r w:rsidR="00EE38EB" w:rsidRPr="003469B2">
        <w:rPr>
          <w:rFonts w:ascii="Minion Pro" w:eastAsia="Times New Roman" w:hAnsi="Minion Pro" w:cs="Times New Roman"/>
          <w:b/>
          <w:bCs/>
          <w:noProof/>
          <w:color w:val="000000"/>
          <w:sz w:val="36"/>
          <w:szCs w:val="36"/>
        </w:rPr>
        <w:t>8</w:t>
      </w:r>
    </w:p>
    <w:p w:rsidR="003469B2" w:rsidRDefault="003469B2" w:rsidP="003469B2">
      <w:pPr>
        <w:jc w:val="both"/>
        <w:rPr>
          <w:rFonts w:asciiTheme="minorBidi" w:eastAsia="Times New Roman" w:hAnsiTheme="minorBidi" w:cstheme="minorBidi"/>
          <w:noProof/>
          <w:color w:val="000000"/>
          <w:sz w:val="24"/>
          <w:szCs w:val="24"/>
        </w:rPr>
      </w:pPr>
      <w:bookmarkStart w:id="0" w:name="_GoBack"/>
      <w:bookmarkEnd w:id="0"/>
      <w:r>
        <w:rPr>
          <w:rFonts w:asciiTheme="minorBidi" w:eastAsia="Times New Roman" w:hAnsiTheme="minorBidi"/>
          <w:noProof/>
          <w:color w:val="000000"/>
          <w:sz w:val="24"/>
          <w:szCs w:val="24"/>
        </w:rPr>
        <w:t>Dr Hamid Zaferani Arani</w:t>
      </w:r>
    </w:p>
    <w:p w:rsidR="003469B2" w:rsidRDefault="003469B2" w:rsidP="003469B2">
      <w:pPr>
        <w:jc w:val="both"/>
        <w:rPr>
          <w:rFonts w:asciiTheme="minorBidi" w:eastAsia="Times New Roman" w:hAnsiTheme="minorBidi"/>
          <w:sz w:val="24"/>
          <w:szCs w:val="24"/>
        </w:rPr>
      </w:pPr>
      <w:r>
        <w:rPr>
          <w:rFonts w:asciiTheme="minorBidi" w:eastAsia="Times New Roman" w:hAnsiTheme="minorBidi"/>
          <w:sz w:val="24"/>
          <w:szCs w:val="24"/>
        </w:rPr>
        <w:t>Young Researchers and Elite Club, Tehran Medical Sciences, Islamic Azad University, Tehran, Iran.</w:t>
      </w:r>
    </w:p>
    <w:p w:rsidR="003469B2" w:rsidRDefault="003469B2" w:rsidP="003469B2">
      <w:pPr>
        <w:rPr>
          <w:rFonts w:asciiTheme="minorBidi" w:eastAsiaTheme="minorHAnsi" w:hAnsiTheme="minorBidi" w:cstheme="minorBidi"/>
          <w:sz w:val="20"/>
          <w:szCs w:val="20"/>
          <w:lang w:bidi="fa-IR"/>
        </w:rPr>
      </w:pPr>
      <w:r>
        <w:rPr>
          <w:rFonts w:asciiTheme="minorBidi" w:hAnsiTheme="minorBidi"/>
          <w:sz w:val="20"/>
          <w:szCs w:val="20"/>
          <w:lang w:bidi="fa-IR"/>
        </w:rPr>
        <w:t xml:space="preserve">Abstract </w:t>
      </w:r>
    </w:p>
    <w:p w:rsidR="007E66D6" w:rsidRPr="003469B2" w:rsidRDefault="003469B2" w:rsidP="007E6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w Cen MT" w:eastAsia="Times New Roman" w:hAnsi="Tw Cen MT" w:cs="Times New Roman"/>
          <w:color w:val="212121"/>
          <w:sz w:val="18"/>
          <w:szCs w:val="18"/>
        </w:rPr>
      </w:pPr>
      <w:r>
        <w:rPr>
          <w:rFonts w:ascii="Tw Cen MT" w:hAnsi="Tw Cen MT" w:cstheme="majorBidi"/>
          <w:b/>
          <w:bCs/>
          <w:sz w:val="18"/>
          <w:szCs w:val="18"/>
        </w:rPr>
        <w:t>Statement of the Problem:</w:t>
      </w:r>
      <w:r>
        <w:rPr>
          <w:rFonts w:ascii="Tw Cen MT" w:hAnsi="Tw Cen MT" w:cstheme="majorBidi"/>
          <w:sz w:val="18"/>
          <w:szCs w:val="18"/>
          <w:lang w:val="en-GB"/>
        </w:rPr>
        <w:t xml:space="preserve"> </w:t>
      </w:r>
      <w:r w:rsidR="007E66D6" w:rsidRPr="003469B2">
        <w:rPr>
          <w:rFonts w:ascii="Tw Cen MT" w:eastAsia="Times New Roman" w:hAnsi="Tw Cen MT" w:cs="Times New Roman"/>
          <w:color w:val="212121"/>
          <w:sz w:val="18"/>
          <w:szCs w:val="18"/>
        </w:rPr>
        <w:t xml:space="preserve">Pain and limitation of joints are the complications of rheumatoid arthritis, which causes disability and disability of the disease. In this regard, the aim of this study was to evaluate the effect of </w:t>
      </w:r>
      <w:r w:rsidR="007E66D6" w:rsidRPr="003469B2">
        <w:rPr>
          <w:rFonts w:ascii="Tw Cen MT" w:eastAsia="Times New Roman" w:hAnsi="Tw Cen MT" w:cs="Times New Roman"/>
          <w:i/>
          <w:iCs/>
          <w:color w:val="212121"/>
          <w:sz w:val="18"/>
          <w:szCs w:val="18"/>
        </w:rPr>
        <w:t>Elaeagnus Angustifolia</w:t>
      </w:r>
      <w:r w:rsidR="007E66D6" w:rsidRPr="003469B2">
        <w:rPr>
          <w:rFonts w:ascii="Tw Cen MT" w:eastAsia="Times New Roman" w:hAnsi="Tw Cen MT" w:cs="Times New Roman"/>
          <w:color w:val="212121"/>
          <w:sz w:val="18"/>
          <w:szCs w:val="18"/>
        </w:rPr>
        <w:t xml:space="preserve"> fruit extract on reducing pain in patients with rheumatoid arthritis.</w:t>
      </w:r>
    </w:p>
    <w:p w:rsidR="007E66D6" w:rsidRPr="003469B2" w:rsidRDefault="003469B2" w:rsidP="003469B2">
      <w:pPr>
        <w:tabs>
          <w:tab w:val="center" w:pos="4513"/>
          <w:tab w:val="right" w:pos="9360"/>
        </w:tabs>
        <w:jc w:val="both"/>
        <w:rPr>
          <w:rFonts w:ascii="Tw Cen MT" w:hAnsi="Tw Cen MT" w:cs="Times New Roman"/>
          <w:sz w:val="18"/>
          <w:szCs w:val="18"/>
          <w:lang w:bidi="fa-IR"/>
        </w:rPr>
      </w:pPr>
      <w:r>
        <w:rPr>
          <w:b/>
          <w:bCs/>
          <w:sz w:val="18"/>
          <w:szCs w:val="18"/>
        </w:rPr>
        <w:t>Methodology &amp; Theoretical Orientation</w:t>
      </w:r>
      <w:r>
        <w:rPr>
          <w:rFonts w:ascii="Tw Cen MT" w:hAnsi="Tw Cen MT" w:cstheme="majorBidi"/>
          <w:b/>
          <w:bCs/>
          <w:color w:val="000000" w:themeColor="text1"/>
          <w:sz w:val="18"/>
          <w:szCs w:val="18"/>
          <w:lang w:val="en-GB"/>
        </w:rPr>
        <w:t>:</w:t>
      </w:r>
      <w:r>
        <w:rPr>
          <w:rFonts w:ascii="Tw Cen MT" w:hAnsi="Tw Cen MT" w:cstheme="majorBidi"/>
          <w:color w:val="000000" w:themeColor="text1"/>
          <w:sz w:val="18"/>
          <w:szCs w:val="18"/>
          <w:lang w:val="en-GB"/>
        </w:rPr>
        <w:t xml:space="preserve"> </w:t>
      </w:r>
      <w:r w:rsidR="007E66D6" w:rsidRPr="003469B2">
        <w:rPr>
          <w:rFonts w:ascii="Tw Cen MT" w:hAnsi="Tw Cen MT" w:cs="Times New Roman"/>
          <w:sz w:val="18"/>
          <w:szCs w:val="18"/>
          <w:lang w:bidi="fa-IR"/>
        </w:rPr>
        <w:t>In this double-blind clinical trial</w:t>
      </w:r>
      <w:r w:rsidR="007E66D6" w:rsidRPr="003469B2">
        <w:rPr>
          <w:rFonts w:ascii="Tw Cen MT" w:hAnsi="Tw Cen MT" w:cs="Times New Roman"/>
          <w:sz w:val="18"/>
          <w:szCs w:val="18"/>
          <w:rtl/>
          <w:lang w:bidi="fa-IR"/>
        </w:rPr>
        <w:t xml:space="preserve"> </w:t>
      </w:r>
      <w:r w:rsidR="007E66D6" w:rsidRPr="003469B2">
        <w:rPr>
          <w:rFonts w:ascii="Tw Cen MT" w:hAnsi="Tw Cen MT" w:cs="Times New Roman"/>
          <w:sz w:val="18"/>
          <w:szCs w:val="18"/>
          <w:lang w:bidi="fa-IR"/>
        </w:rPr>
        <w:t xml:space="preserve">study, </w:t>
      </w:r>
      <w:r w:rsidR="00EE38EB" w:rsidRPr="003469B2">
        <w:rPr>
          <w:rFonts w:ascii="Tw Cen MT" w:hAnsi="Tw Cen MT" w:cs="Times New Roman"/>
          <w:sz w:val="18"/>
          <w:szCs w:val="18"/>
          <w:lang w:bidi="fa-IR"/>
        </w:rPr>
        <w:t>240</w:t>
      </w:r>
      <w:r w:rsidR="007E66D6" w:rsidRPr="003469B2">
        <w:rPr>
          <w:rFonts w:ascii="Tw Cen MT" w:hAnsi="Tw Cen MT" w:cs="Times New Roman"/>
          <w:sz w:val="18"/>
          <w:szCs w:val="18"/>
          <w:lang w:bidi="fa-IR"/>
        </w:rPr>
        <w:t xml:space="preserve"> patients with a diagnosis of rheumatoid arthritis from the age of 36-55</w:t>
      </w:r>
      <w:r w:rsidR="00EE38EB" w:rsidRPr="003469B2">
        <w:rPr>
          <w:rFonts w:ascii="Tw Cen MT" w:hAnsi="Tw Cen MT" w:cs="Times New Roman"/>
          <w:sz w:val="18"/>
          <w:szCs w:val="18"/>
          <w:lang w:bidi="fa-IR"/>
        </w:rPr>
        <w:t xml:space="preserve"> y</w:t>
      </w:r>
      <w:r w:rsidR="007E66D6" w:rsidRPr="003469B2">
        <w:rPr>
          <w:rFonts w:ascii="Tw Cen MT" w:hAnsi="Tw Cen MT" w:cs="Times New Roman"/>
          <w:sz w:val="18"/>
          <w:szCs w:val="18"/>
          <w:lang w:bidi="fa-IR"/>
        </w:rPr>
        <w:t>, were randomly divided into two groups of case and control. After collecting demographic information, their pain intensity was measured by visual analog scale measurement.</w:t>
      </w:r>
      <w:r w:rsidR="007E66D6" w:rsidRPr="003469B2">
        <w:rPr>
          <w:rFonts w:ascii="Tw Cen MT" w:eastAsia="Times New Roman" w:hAnsi="Tw Cen MT" w:cs="Courier New"/>
          <w:color w:val="212121"/>
          <w:sz w:val="18"/>
          <w:szCs w:val="18"/>
        </w:rPr>
        <w:t xml:space="preserve"> </w:t>
      </w:r>
      <w:r w:rsidR="007E66D6" w:rsidRPr="003469B2">
        <w:rPr>
          <w:rFonts w:ascii="Tw Cen MT" w:hAnsi="Tw Cen MT" w:cs="Times New Roman"/>
          <w:sz w:val="18"/>
          <w:szCs w:val="18"/>
          <w:lang w:bidi="fa-IR"/>
        </w:rPr>
        <w:t xml:space="preserve">The case group was received </w:t>
      </w:r>
      <w:r w:rsidR="007E66D6" w:rsidRPr="003469B2">
        <w:rPr>
          <w:rFonts w:ascii="Tw Cen MT" w:hAnsi="Tw Cen MT" w:cs="Times New Roman"/>
          <w:i/>
          <w:iCs/>
          <w:sz w:val="18"/>
          <w:szCs w:val="18"/>
          <w:lang w:bidi="fa-IR"/>
        </w:rPr>
        <w:t>Elaeagnus Angustifolia</w:t>
      </w:r>
      <w:r w:rsidR="007E66D6" w:rsidRPr="003469B2">
        <w:rPr>
          <w:rFonts w:ascii="Tw Cen MT" w:hAnsi="Tw Cen MT" w:cs="Times New Roman"/>
          <w:sz w:val="18"/>
          <w:szCs w:val="18"/>
          <w:lang w:bidi="fa-IR"/>
        </w:rPr>
        <w:t xml:space="preserve"> extract and the control group received placebo, in which the medicines were packed in 2 packs of 30 (package A, package B). Then they were asked to take 500 mg capsules for 30 days, twice daily after eating. They were re-evaluated after a one-month period. </w:t>
      </w:r>
      <w:r w:rsidR="007E66D6" w:rsidRPr="003469B2">
        <w:rPr>
          <w:rFonts w:ascii="Tw Cen MT" w:hAnsi="Tw Cen MT" w:cs="Times New Roman"/>
          <w:sz w:val="18"/>
          <w:szCs w:val="18"/>
          <w:lang w:val="en" w:bidi="fa-IR"/>
        </w:rPr>
        <w:t>In addition, this study was registered with IRCT20180421039375N1 in the Iranian Center for Clinical Trials Registration.</w:t>
      </w:r>
      <w:r>
        <w:rPr>
          <w:rFonts w:ascii="Tw Cen MT" w:hAnsi="Tw Cen MT" w:cs="Times New Roman"/>
          <w:sz w:val="18"/>
          <w:szCs w:val="18"/>
          <w:lang w:val="en" w:bidi="fa-IR"/>
        </w:rPr>
        <w:t xml:space="preserve">                        </w:t>
      </w:r>
      <w:r w:rsidRPr="003469B2">
        <w:rPr>
          <w:rFonts w:ascii="Tw Cen MT" w:hAnsi="Tw Cen MT" w:cs="Times New Roman"/>
          <w:b/>
          <w:bCs/>
          <w:color w:val="212121"/>
          <w:sz w:val="18"/>
          <w:szCs w:val="18"/>
        </w:rPr>
        <w:t xml:space="preserve">Findings: </w:t>
      </w:r>
      <w:r w:rsidR="007E66D6" w:rsidRPr="003469B2">
        <w:rPr>
          <w:rFonts w:ascii="Tw Cen MT" w:hAnsi="Tw Cen MT" w:cs="Times New Roman"/>
          <w:color w:val="212121"/>
          <w:sz w:val="18"/>
          <w:szCs w:val="18"/>
        </w:rPr>
        <w:t xml:space="preserve">The mean of pain severity in the case group before and after consumption of </w:t>
      </w:r>
      <w:r w:rsidR="007E66D6" w:rsidRPr="003469B2">
        <w:rPr>
          <w:rFonts w:ascii="Tw Cen MT" w:hAnsi="Tw Cen MT" w:cs="Times New Roman"/>
          <w:i/>
          <w:iCs/>
          <w:color w:val="212121"/>
          <w:sz w:val="18"/>
          <w:szCs w:val="18"/>
        </w:rPr>
        <w:t>Elaeagnus Angustifolia</w:t>
      </w:r>
      <w:r w:rsidR="007E66D6" w:rsidRPr="003469B2">
        <w:rPr>
          <w:rFonts w:ascii="Tw Cen MT" w:hAnsi="Tw Cen MT" w:cs="Times New Roman"/>
          <w:color w:val="212121"/>
          <w:sz w:val="18"/>
          <w:szCs w:val="18"/>
        </w:rPr>
        <w:t xml:space="preserve"> with P&lt;0.05 showed significant difference. In control group before and after placebo, P=0.99 showed no significant difference.</w:t>
      </w:r>
      <w:r>
        <w:rPr>
          <w:rFonts w:ascii="Tw Cen MT" w:hAnsi="Tw Cen MT" w:cs="Times New Roman"/>
          <w:color w:val="212121"/>
          <w:sz w:val="18"/>
          <w:szCs w:val="18"/>
        </w:rPr>
        <w:t xml:space="preserve">                                            </w:t>
      </w:r>
      <w:r w:rsidRPr="003469B2">
        <w:rPr>
          <w:rFonts w:ascii="Tw Cen MT" w:hAnsi="Tw Cen MT" w:cs="Times New Roman"/>
          <w:b/>
          <w:bCs/>
          <w:color w:val="212121"/>
          <w:sz w:val="18"/>
          <w:szCs w:val="18"/>
        </w:rPr>
        <w:t xml:space="preserve">Conclusion &amp; Significance:  </w:t>
      </w:r>
      <w:r w:rsidR="007E66D6" w:rsidRPr="003469B2">
        <w:rPr>
          <w:rFonts w:ascii="Tw Cen MT" w:hAnsi="Tw Cen MT" w:cs="Times New Roman"/>
          <w:color w:val="212121"/>
          <w:sz w:val="18"/>
          <w:szCs w:val="18"/>
        </w:rPr>
        <w:t>The present study showed that consuming approximately 500</w:t>
      </w:r>
      <w:r w:rsidR="007E66D6" w:rsidRPr="003469B2">
        <w:rPr>
          <w:rFonts w:ascii="Tw Cen MT" w:hAnsi="Tw Cen MT" w:cs="Times New Roman"/>
          <w:color w:val="212121"/>
          <w:sz w:val="18"/>
          <w:szCs w:val="18"/>
        </w:rPr>
        <w:softHyphen/>
      </w:r>
      <w:r w:rsidR="00EE38EB" w:rsidRPr="003469B2">
        <w:rPr>
          <w:rFonts w:ascii="Tw Cen MT" w:hAnsi="Tw Cen MT" w:cs="Times New Roman"/>
          <w:color w:val="212121"/>
          <w:sz w:val="18"/>
          <w:szCs w:val="18"/>
        </w:rPr>
        <w:t xml:space="preserve"> </w:t>
      </w:r>
      <w:r w:rsidR="007E66D6" w:rsidRPr="003469B2">
        <w:rPr>
          <w:rFonts w:ascii="Tw Cen MT" w:hAnsi="Tw Cen MT" w:cs="Times New Roman"/>
          <w:color w:val="212121"/>
          <w:sz w:val="18"/>
          <w:szCs w:val="18"/>
        </w:rPr>
        <w:t xml:space="preserve">mg of daily </w:t>
      </w:r>
      <w:r w:rsidR="007E66D6" w:rsidRPr="003469B2">
        <w:rPr>
          <w:rFonts w:ascii="Tw Cen MT" w:hAnsi="Tw Cen MT" w:cs="Times New Roman"/>
          <w:i/>
          <w:iCs/>
          <w:color w:val="212121"/>
          <w:sz w:val="18"/>
          <w:szCs w:val="18"/>
        </w:rPr>
        <w:t>Elaeagnus Angustifolia</w:t>
      </w:r>
      <w:r w:rsidR="007E66D6" w:rsidRPr="003469B2">
        <w:rPr>
          <w:rFonts w:ascii="Tw Cen MT" w:hAnsi="Tw Cen MT" w:cs="Times New Roman"/>
          <w:color w:val="212121"/>
          <w:sz w:val="18"/>
          <w:szCs w:val="18"/>
        </w:rPr>
        <w:t xml:space="preserve"> fruit extract for 30 days reduced the pain intensity of patients with rheumatoid arthritis. </w:t>
      </w:r>
    </w:p>
    <w:p w:rsidR="003469B2" w:rsidRDefault="003469B2" w:rsidP="003469B2">
      <w:pPr>
        <w:rPr>
          <w:rFonts w:ascii="Arial"/>
          <w:b/>
          <w:color w:val="BF5A14"/>
          <w:sz w:val="20"/>
        </w:rPr>
      </w:pPr>
    </w:p>
    <w:p w:rsidR="003469B2" w:rsidRDefault="003469B2" w:rsidP="003469B2">
      <w:pPr>
        <w:rPr>
          <w:rFonts w:ascii="Arial" w:eastAsiaTheme="minorHAnsi" w:hAnsiTheme="minorHAnsi" w:cstheme="minorBidi"/>
          <w:b/>
          <w:color w:val="BF5A14"/>
          <w:sz w:val="20"/>
        </w:rPr>
      </w:pPr>
      <w:r>
        <w:rPr>
          <w:rFonts w:ascii="Arial"/>
          <w:b/>
          <w:color w:val="BF5A14"/>
          <w:sz w:val="20"/>
        </w:rPr>
        <w:t>Recent Publications</w:t>
      </w:r>
    </w:p>
    <w:p w:rsidR="003469B2" w:rsidRPr="003469B2" w:rsidRDefault="003469B2" w:rsidP="0029411A">
      <w:pPr>
        <w:pStyle w:val="EndNoteBibliography"/>
        <w:spacing w:after="0"/>
        <w:jc w:val="both"/>
        <w:rPr>
          <w:rFonts w:asciiTheme="minorHAnsi" w:eastAsia="Calibri" w:hAnsiTheme="minorHAnsi" w:cs="Times New Roman"/>
          <w:sz w:val="18"/>
          <w:szCs w:val="18"/>
        </w:rPr>
      </w:pPr>
      <w:r w:rsidRPr="003469B2">
        <w:rPr>
          <w:rFonts w:asciiTheme="minorHAnsi" w:hAnsiTheme="minorHAnsi" w:cs="Times New Roman"/>
          <w:sz w:val="18"/>
          <w:szCs w:val="18"/>
        </w:rPr>
        <w:t>1. Keshtkaran, Z, Ghodsbin, F, Solouki, S, Razeghi M, Zare N. he Impact of Self Care Education on Quality of Life of Those Clients Suffering from Osteoarthritis in Rehabilitation Centers of Shiraz University of Medical Science (Iran). Journal of Babol University Of Medical Sciences. 2010;12(1):65-70.</w:t>
      </w:r>
    </w:p>
    <w:p w:rsidR="003469B2" w:rsidRPr="003469B2" w:rsidRDefault="003469B2" w:rsidP="0029411A">
      <w:pPr>
        <w:pStyle w:val="EndNoteBibliography"/>
        <w:jc w:val="both"/>
        <w:rPr>
          <w:rFonts w:asciiTheme="minorHAnsi" w:hAnsiTheme="minorHAnsi" w:cs="Times New Roman"/>
          <w:sz w:val="18"/>
          <w:szCs w:val="18"/>
        </w:rPr>
      </w:pPr>
      <w:bookmarkStart w:id="1" w:name="_ENREF_13"/>
      <w:r w:rsidRPr="003469B2">
        <w:rPr>
          <w:rFonts w:asciiTheme="minorHAnsi" w:hAnsiTheme="minorHAnsi" w:cs="Times New Roman"/>
          <w:sz w:val="18"/>
          <w:szCs w:val="18"/>
        </w:rPr>
        <w:t>2. Malani PN. Harrison’s principles of internal medicine. JAMA. 2012;308(17):1813-4.</w:t>
      </w:r>
      <w:bookmarkEnd w:id="1"/>
    </w:p>
    <w:p w:rsidR="003469B2" w:rsidRPr="003469B2" w:rsidRDefault="003469B2" w:rsidP="0029411A">
      <w:pPr>
        <w:pStyle w:val="EndNoteBibliography"/>
        <w:spacing w:after="0"/>
        <w:jc w:val="both"/>
        <w:rPr>
          <w:rFonts w:asciiTheme="minorHAnsi" w:hAnsiTheme="minorHAnsi" w:cs="Times New Roman"/>
          <w:sz w:val="18"/>
          <w:szCs w:val="18"/>
        </w:rPr>
      </w:pPr>
      <w:bookmarkStart w:id="2" w:name="_ENREF_14"/>
      <w:r w:rsidRPr="003469B2">
        <w:rPr>
          <w:rFonts w:asciiTheme="minorHAnsi" w:hAnsiTheme="minorHAnsi" w:cs="Times New Roman"/>
          <w:sz w:val="18"/>
          <w:szCs w:val="18"/>
        </w:rPr>
        <w:t>3. Mota LMHd, Cruz BA, Brenol CV, Pereira IA, Fronza LSR, Bertolo MB, et al. Consenso da Sociedade Brasileira de Reumatologia 2011 para o diagnóstico e avaliação inicial da artrite reumatoide. Revista Brasileira de Reumatologia. 2011;51(3):207-19.</w:t>
      </w:r>
      <w:bookmarkEnd w:id="2"/>
    </w:p>
    <w:p w:rsidR="003469B2" w:rsidRPr="003469B2" w:rsidRDefault="0029411A" w:rsidP="0029411A">
      <w:pPr>
        <w:pStyle w:val="EndNoteBibliography"/>
        <w:spacing w:after="0"/>
        <w:jc w:val="both"/>
        <w:rPr>
          <w:rFonts w:asciiTheme="minorHAnsi" w:hAnsiTheme="minorHAnsi" w:cs="Times New Roman"/>
          <w:sz w:val="18"/>
          <w:szCs w:val="18"/>
          <w:rtl/>
        </w:rPr>
      </w:pPr>
      <w:r>
        <w:rPr>
          <w:rFonts w:asciiTheme="minorHAnsi" w:hAnsiTheme="minorHAnsi" w:cs="Times New Roman"/>
          <w:sz w:val="18"/>
          <w:szCs w:val="18"/>
        </w:rPr>
        <w:t>4</w:t>
      </w:r>
      <w:r w:rsidR="003469B2" w:rsidRPr="003469B2">
        <w:rPr>
          <w:rFonts w:asciiTheme="minorHAnsi" w:hAnsiTheme="minorHAnsi" w:cs="Times New Roman"/>
          <w:sz w:val="18"/>
          <w:szCs w:val="18"/>
        </w:rPr>
        <w:t>. Malahias M, Gardner H, Hindocha S, Juma A, Khan W. Suppl 1: The Future of Rheumatoid Arthritis and Hand Surgery-Combining Evolutionary Pharmacology and Surgical Technique. The open orthopaedics journal. 2012;6:88.</w:t>
      </w:r>
    </w:p>
    <w:p w:rsidR="003469B2" w:rsidRPr="003469B2" w:rsidRDefault="0029411A" w:rsidP="0029411A">
      <w:pPr>
        <w:jc w:val="both"/>
        <w:rPr>
          <w:rFonts w:asciiTheme="minorHAnsi" w:hAnsiTheme="minorHAnsi" w:cs="Times New Roman"/>
          <w:sz w:val="18"/>
          <w:szCs w:val="18"/>
          <w:lang w:bidi="fa-IR"/>
        </w:rPr>
      </w:pPr>
      <w:bookmarkStart w:id="3" w:name="_ENREF_17"/>
      <w:r>
        <w:rPr>
          <w:rFonts w:asciiTheme="minorHAnsi" w:hAnsiTheme="minorHAnsi" w:cs="Times New Roman"/>
          <w:sz w:val="18"/>
          <w:szCs w:val="18"/>
          <w:lang w:bidi="fa-IR"/>
        </w:rPr>
        <w:t>5</w:t>
      </w:r>
      <w:r w:rsidR="003469B2" w:rsidRPr="003469B2">
        <w:rPr>
          <w:rFonts w:asciiTheme="minorHAnsi" w:hAnsiTheme="minorHAnsi" w:cs="Times New Roman"/>
          <w:sz w:val="18"/>
          <w:szCs w:val="18"/>
          <w:lang w:bidi="fa-IR"/>
        </w:rPr>
        <w:t>. Fattahi MJ, Mirshafiey A. Prostaglandins and rheumatoid arthritis. Arthritis. 2012;2012.</w:t>
      </w:r>
      <w:bookmarkEnd w:id="3"/>
    </w:p>
    <w:p w:rsidR="003469B2" w:rsidRPr="003469B2" w:rsidRDefault="0029411A" w:rsidP="0029411A">
      <w:pPr>
        <w:jc w:val="both"/>
        <w:rPr>
          <w:rFonts w:asciiTheme="minorHAnsi" w:hAnsiTheme="minorHAnsi" w:cs="Times New Roman"/>
          <w:sz w:val="18"/>
          <w:szCs w:val="18"/>
        </w:rPr>
      </w:pPr>
      <w:bookmarkStart w:id="4" w:name="_ENREF_22"/>
      <w:r>
        <w:rPr>
          <w:rFonts w:asciiTheme="minorHAnsi" w:hAnsiTheme="minorHAnsi" w:cs="Times New Roman"/>
          <w:noProof/>
          <w:sz w:val="18"/>
          <w:szCs w:val="18"/>
        </w:rPr>
        <w:t>6</w:t>
      </w:r>
      <w:r w:rsidR="003469B2" w:rsidRPr="003469B2">
        <w:rPr>
          <w:rFonts w:asciiTheme="minorHAnsi" w:hAnsiTheme="minorHAnsi" w:cs="Times New Roman"/>
          <w:noProof/>
          <w:sz w:val="18"/>
          <w:szCs w:val="18"/>
        </w:rPr>
        <w:t>. Isgren A, Forslind K, Erlandsson M, Axelsson C, Andersson S, Lund A, et al., editors. High survivin levels predict poor clinical response to infliximab treatment in patients with rheumatoid arthritis. Seminars in arthritis and rheumatism; 2012: Elsevier.</w:t>
      </w:r>
      <w:bookmarkEnd w:id="4"/>
    </w:p>
    <w:p w:rsidR="003469B2" w:rsidRPr="003469B2" w:rsidRDefault="0029411A" w:rsidP="0029411A">
      <w:pPr>
        <w:spacing w:after="0" w:line="240" w:lineRule="auto"/>
        <w:jc w:val="both"/>
        <w:rPr>
          <w:rFonts w:asciiTheme="minorHAnsi" w:hAnsiTheme="minorHAnsi" w:cs="B Mitra"/>
          <w:sz w:val="18"/>
          <w:szCs w:val="18"/>
        </w:rPr>
      </w:pPr>
      <w:r>
        <w:rPr>
          <w:rFonts w:asciiTheme="minorHAnsi" w:hAnsiTheme="minorHAnsi" w:cs="B Mitra"/>
          <w:sz w:val="18"/>
          <w:szCs w:val="18"/>
        </w:rPr>
        <w:t>7</w:t>
      </w:r>
      <w:r w:rsidR="003469B2" w:rsidRPr="003469B2">
        <w:rPr>
          <w:rFonts w:asciiTheme="minorHAnsi" w:hAnsiTheme="minorHAnsi" w:cs="B Mitra"/>
          <w:sz w:val="18"/>
          <w:szCs w:val="18"/>
        </w:rPr>
        <w:t>. Alishiri GH. [Rheumatoid Arthritis and Patients]. Tehran: Rasanetakhassosi Publications; 2013. P. 18-21. (Persian)</w:t>
      </w:r>
    </w:p>
    <w:p w:rsidR="003469B2" w:rsidRDefault="003469B2"/>
    <w:p w:rsidR="003469B2" w:rsidRDefault="003469B2" w:rsidP="003469B2">
      <w:pPr>
        <w:rPr>
          <w:rFonts w:ascii="Arial" w:eastAsiaTheme="minorHAnsi" w:hAnsiTheme="minorHAnsi" w:cstheme="minorBidi"/>
          <w:color w:val="BF5A14"/>
        </w:rPr>
      </w:pPr>
      <w:r>
        <w:rPr>
          <w:rFonts w:ascii="Arial"/>
          <w:color w:val="BF5A14"/>
        </w:rPr>
        <w:t>Biography</w:t>
      </w:r>
    </w:p>
    <w:p w:rsidR="003469B2" w:rsidRDefault="003469B2" w:rsidP="003469B2">
      <w:pPr>
        <w:rPr>
          <w:rFonts w:asciiTheme="minorBidi" w:hAnsiTheme="minorBidi"/>
          <w:sz w:val="14"/>
          <w:szCs w:val="14"/>
        </w:rPr>
      </w:pPr>
      <w:r>
        <w:rPr>
          <w:rFonts w:asciiTheme="minorHAnsi"/>
          <w:noProof/>
        </w:rPr>
        <w:lastRenderedPageBreak/>
        <w:drawing>
          <wp:anchor distT="0" distB="0" distL="114300" distR="114300" simplePos="0" relativeHeight="251658240" behindDoc="1" locked="0" layoutInCell="1" allowOverlap="1">
            <wp:simplePos x="0" y="0"/>
            <wp:positionH relativeFrom="margin">
              <wp:align>left</wp:align>
            </wp:positionH>
            <wp:positionV relativeFrom="paragraph">
              <wp:posOffset>10160</wp:posOffset>
            </wp:positionV>
            <wp:extent cx="1052195" cy="1414780"/>
            <wp:effectExtent l="0" t="0" r="0" b="0"/>
            <wp:wrapTight wrapText="bothSides">
              <wp:wrapPolygon edited="0">
                <wp:start x="0" y="0"/>
                <wp:lineTo x="0" y="21232"/>
                <wp:lineTo x="21118" y="21232"/>
                <wp:lineTo x="21118" y="0"/>
                <wp:lineTo x="0" y="0"/>
              </wp:wrapPolygon>
            </wp:wrapTight>
            <wp:docPr id="1" name="Picture 1" descr="ham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mi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52195" cy="1414780"/>
                    </a:xfrm>
                    <a:prstGeom prst="rect">
                      <a:avLst/>
                    </a:prstGeom>
                    <a:noFill/>
                  </pic:spPr>
                </pic:pic>
              </a:graphicData>
            </a:graphic>
            <wp14:sizeRelH relativeFrom="page">
              <wp14:pctWidth>0</wp14:pctWidth>
            </wp14:sizeRelH>
            <wp14:sizeRelV relativeFrom="page">
              <wp14:pctHeight>0</wp14:pctHeight>
            </wp14:sizeRelV>
          </wp:anchor>
        </w:drawing>
      </w:r>
    </w:p>
    <w:p w:rsidR="003469B2" w:rsidRDefault="003469B2" w:rsidP="003469B2">
      <w:pPr>
        <w:rPr>
          <w:rFonts w:asciiTheme="minorBidi" w:hAnsiTheme="minorBidi"/>
          <w:sz w:val="14"/>
          <w:szCs w:val="14"/>
        </w:rPr>
      </w:pPr>
      <w:r>
        <w:rPr>
          <w:rFonts w:asciiTheme="minorBidi" w:hAnsiTheme="minorBidi"/>
          <w:sz w:val="14"/>
          <w:szCs w:val="14"/>
        </w:rPr>
        <w:t>Hamid Zaferani Arani is currently enrolled as a seventh-year student at Islamic Azad University of Tehran Medical Sciences. Hamid successfully finished his level 4 English</w:t>
      </w:r>
      <w:r>
        <w:t xml:space="preserve"> </w:t>
      </w:r>
      <w:r>
        <w:rPr>
          <w:rFonts w:asciiTheme="minorBidi" w:hAnsiTheme="minorBidi"/>
          <w:sz w:val="14"/>
          <w:szCs w:val="14"/>
        </w:rPr>
        <w:t>proficiency. One of the most important things he does after studying university courses is reading articles and doing research in all fields of Medicine. He has about 14 publications (Article and book) and 3 inventions. He likes swimming in free time as a professional exercise. Hamid is still in the process of identifying his learning method. In the course of this, he got the chance to involve himself in teaching research. Through this opportunity, daunting identified his own learning style by reflecting on his experiences. And now, he is involved in his thesis and a hot topic systematic review manuscript with his foreign friends.</w:t>
      </w:r>
    </w:p>
    <w:p w:rsidR="003469B2" w:rsidRDefault="003469B2" w:rsidP="003469B2">
      <w:pPr>
        <w:rPr>
          <w:rFonts w:asciiTheme="minorHAnsi" w:hAnsiTheme="minorHAnsi"/>
        </w:rPr>
      </w:pPr>
      <w:r>
        <w:rPr>
          <w:rFonts w:asciiTheme="minorBidi" w:hAnsiTheme="minorBidi"/>
          <w:sz w:val="14"/>
          <w:szCs w:val="14"/>
        </w:rPr>
        <w:t xml:space="preserve">E-mail: </w:t>
      </w:r>
      <w:hyperlink r:id="rId5" w:history="1">
        <w:r>
          <w:rPr>
            <w:rStyle w:val="Hyperlink"/>
            <w:rFonts w:asciiTheme="minorBidi" w:hAnsiTheme="minorBidi"/>
            <w:sz w:val="14"/>
            <w:szCs w:val="14"/>
          </w:rPr>
          <w:t>Hamid_zaferani@iautmu.ac.ir</w:t>
        </w:r>
      </w:hyperlink>
      <w:r>
        <w:rPr>
          <w:rFonts w:asciiTheme="minorBidi" w:hAnsiTheme="minorBidi"/>
          <w:sz w:val="14"/>
          <w:szCs w:val="14"/>
        </w:rPr>
        <w:t xml:space="preserve"> </w:t>
      </w:r>
    </w:p>
    <w:p w:rsidR="003469B2" w:rsidRDefault="003469B2"/>
    <w:sectPr w:rsidR="003469B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99A"/>
    <w:rsid w:val="00077975"/>
    <w:rsid w:val="00105924"/>
    <w:rsid w:val="0016499A"/>
    <w:rsid w:val="0029411A"/>
    <w:rsid w:val="003469B2"/>
    <w:rsid w:val="007A63F3"/>
    <w:rsid w:val="007D20F6"/>
    <w:rsid w:val="007E66D6"/>
    <w:rsid w:val="00A2711A"/>
    <w:rsid w:val="00EE38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67F2A-CB8B-4AE7-9212-150993B6A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66D6"/>
    <w:pPr>
      <w:spacing w:after="200" w:line="276" w:lineRule="auto"/>
    </w:pPr>
    <w:rPr>
      <w:rFonts w:ascii="Calibri" w:eastAsia="Calibri" w:hAnsi="Calibri"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7E6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E66D6"/>
    <w:rPr>
      <w:rFonts w:ascii="Courier New" w:eastAsia="Times New Roman" w:hAnsi="Courier New" w:cs="Courier New"/>
      <w:sz w:val="20"/>
      <w:szCs w:val="20"/>
    </w:rPr>
  </w:style>
  <w:style w:type="character" w:styleId="Hyperlink">
    <w:name w:val="Hyperlink"/>
    <w:basedOn w:val="DefaultParagraphFont"/>
    <w:uiPriority w:val="99"/>
    <w:semiHidden/>
    <w:unhideWhenUsed/>
    <w:rsid w:val="003469B2"/>
    <w:rPr>
      <w:color w:val="0563C1" w:themeColor="hyperlink"/>
      <w:u w:val="single"/>
    </w:rPr>
  </w:style>
  <w:style w:type="character" w:customStyle="1" w:styleId="EndNoteBibliographyChar">
    <w:name w:val="EndNote Bibliography Char"/>
    <w:link w:val="EndNoteBibliography"/>
    <w:locked/>
    <w:rsid w:val="003469B2"/>
    <w:rPr>
      <w:rFonts w:ascii="Calibri" w:hAnsi="Calibri" w:cs="Calibri"/>
      <w:noProof/>
    </w:rPr>
  </w:style>
  <w:style w:type="paragraph" w:customStyle="1" w:styleId="EndNoteBibliography">
    <w:name w:val="EndNote Bibliography"/>
    <w:basedOn w:val="Normal"/>
    <w:link w:val="EndNoteBibliographyChar"/>
    <w:rsid w:val="003469B2"/>
    <w:pPr>
      <w:spacing w:line="240" w:lineRule="auto"/>
    </w:pPr>
    <w:rPr>
      <w:rFonts w:eastAsiaTheme="minorHAns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871564">
      <w:bodyDiv w:val="1"/>
      <w:marLeft w:val="0"/>
      <w:marRight w:val="0"/>
      <w:marTop w:val="0"/>
      <w:marBottom w:val="0"/>
      <w:divBdr>
        <w:top w:val="none" w:sz="0" w:space="0" w:color="auto"/>
        <w:left w:val="none" w:sz="0" w:space="0" w:color="auto"/>
        <w:bottom w:val="none" w:sz="0" w:space="0" w:color="auto"/>
        <w:right w:val="none" w:sz="0" w:space="0" w:color="auto"/>
      </w:divBdr>
    </w:div>
    <w:div w:id="518860526">
      <w:bodyDiv w:val="1"/>
      <w:marLeft w:val="0"/>
      <w:marRight w:val="0"/>
      <w:marTop w:val="0"/>
      <w:marBottom w:val="0"/>
      <w:divBdr>
        <w:top w:val="none" w:sz="0" w:space="0" w:color="auto"/>
        <w:left w:val="none" w:sz="0" w:space="0" w:color="auto"/>
        <w:bottom w:val="none" w:sz="0" w:space="0" w:color="auto"/>
        <w:right w:val="none" w:sz="0" w:space="0" w:color="auto"/>
      </w:divBdr>
    </w:div>
    <w:div w:id="565264182">
      <w:bodyDiv w:val="1"/>
      <w:marLeft w:val="0"/>
      <w:marRight w:val="0"/>
      <w:marTop w:val="0"/>
      <w:marBottom w:val="0"/>
      <w:divBdr>
        <w:top w:val="none" w:sz="0" w:space="0" w:color="auto"/>
        <w:left w:val="none" w:sz="0" w:space="0" w:color="auto"/>
        <w:bottom w:val="none" w:sz="0" w:space="0" w:color="auto"/>
        <w:right w:val="none" w:sz="0" w:space="0" w:color="auto"/>
      </w:divBdr>
    </w:div>
    <w:div w:id="645937184">
      <w:bodyDiv w:val="1"/>
      <w:marLeft w:val="0"/>
      <w:marRight w:val="0"/>
      <w:marTop w:val="0"/>
      <w:marBottom w:val="0"/>
      <w:divBdr>
        <w:top w:val="none" w:sz="0" w:space="0" w:color="auto"/>
        <w:left w:val="none" w:sz="0" w:space="0" w:color="auto"/>
        <w:bottom w:val="none" w:sz="0" w:space="0" w:color="auto"/>
        <w:right w:val="none" w:sz="0" w:space="0" w:color="auto"/>
      </w:divBdr>
    </w:div>
    <w:div w:id="775519135">
      <w:bodyDiv w:val="1"/>
      <w:marLeft w:val="0"/>
      <w:marRight w:val="0"/>
      <w:marTop w:val="0"/>
      <w:marBottom w:val="0"/>
      <w:divBdr>
        <w:top w:val="none" w:sz="0" w:space="0" w:color="auto"/>
        <w:left w:val="none" w:sz="0" w:space="0" w:color="auto"/>
        <w:bottom w:val="none" w:sz="0" w:space="0" w:color="auto"/>
        <w:right w:val="none" w:sz="0" w:space="0" w:color="auto"/>
      </w:divBdr>
    </w:div>
    <w:div w:id="816217631">
      <w:bodyDiv w:val="1"/>
      <w:marLeft w:val="0"/>
      <w:marRight w:val="0"/>
      <w:marTop w:val="0"/>
      <w:marBottom w:val="0"/>
      <w:divBdr>
        <w:top w:val="none" w:sz="0" w:space="0" w:color="auto"/>
        <w:left w:val="none" w:sz="0" w:space="0" w:color="auto"/>
        <w:bottom w:val="none" w:sz="0" w:space="0" w:color="auto"/>
        <w:right w:val="none" w:sz="0" w:space="0" w:color="auto"/>
      </w:divBdr>
    </w:div>
    <w:div w:id="1262254383">
      <w:bodyDiv w:val="1"/>
      <w:marLeft w:val="0"/>
      <w:marRight w:val="0"/>
      <w:marTop w:val="0"/>
      <w:marBottom w:val="0"/>
      <w:divBdr>
        <w:top w:val="none" w:sz="0" w:space="0" w:color="auto"/>
        <w:left w:val="none" w:sz="0" w:space="0" w:color="auto"/>
        <w:bottom w:val="none" w:sz="0" w:space="0" w:color="auto"/>
        <w:right w:val="none" w:sz="0" w:space="0" w:color="auto"/>
      </w:divBdr>
    </w:div>
    <w:div w:id="1606501136">
      <w:bodyDiv w:val="1"/>
      <w:marLeft w:val="0"/>
      <w:marRight w:val="0"/>
      <w:marTop w:val="0"/>
      <w:marBottom w:val="0"/>
      <w:divBdr>
        <w:top w:val="none" w:sz="0" w:space="0" w:color="auto"/>
        <w:left w:val="none" w:sz="0" w:space="0" w:color="auto"/>
        <w:bottom w:val="none" w:sz="0" w:space="0" w:color="auto"/>
        <w:right w:val="none" w:sz="0" w:space="0" w:color="auto"/>
      </w:divBdr>
    </w:div>
    <w:div w:id="1892111173">
      <w:bodyDiv w:val="1"/>
      <w:marLeft w:val="0"/>
      <w:marRight w:val="0"/>
      <w:marTop w:val="0"/>
      <w:marBottom w:val="0"/>
      <w:divBdr>
        <w:top w:val="none" w:sz="0" w:space="0" w:color="auto"/>
        <w:left w:val="none" w:sz="0" w:space="0" w:color="auto"/>
        <w:bottom w:val="none" w:sz="0" w:space="0" w:color="auto"/>
        <w:right w:val="none" w:sz="0" w:space="0" w:color="auto"/>
      </w:divBdr>
    </w:div>
    <w:div w:id="1897542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amid_zaferani@iautmu.ac.ir"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clinic</dc:creator>
  <cp:keywords/>
  <dc:description/>
  <cp:lastModifiedBy>clinic</cp:lastModifiedBy>
  <cp:revision>17</cp:revision>
  <dcterms:created xsi:type="dcterms:W3CDTF">2019-10-19T07:25:00Z</dcterms:created>
  <dcterms:modified xsi:type="dcterms:W3CDTF">2019-10-19T08:59:00Z</dcterms:modified>
</cp:coreProperties>
</file>