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8A1" w:rsidRPr="001C78A1" w:rsidRDefault="001C78A1" w:rsidP="001C78A1">
      <w:pPr>
        <w:spacing w:before="240" w:line="360" w:lineRule="auto"/>
        <w:jc w:val="center"/>
        <w:rPr>
          <w:rFonts w:ascii="Times New Roman" w:hAnsi="Times New Roman" w:cs="Times New Roman"/>
          <w:b/>
          <w:bCs/>
          <w:sz w:val="28"/>
          <w:szCs w:val="28"/>
        </w:rPr>
      </w:pPr>
      <w:r w:rsidRPr="001C78A1">
        <w:rPr>
          <w:rFonts w:ascii="Times New Roman" w:hAnsi="Times New Roman" w:cs="Times New Roman"/>
          <w:b/>
          <w:bCs/>
          <w:sz w:val="28"/>
          <w:szCs w:val="28"/>
        </w:rPr>
        <w:t>An updated systematic review on the applied TST and IGRA Test   for diagnosing LTBI in patients treated with TNF-α inhibitor drugs</w:t>
      </w:r>
    </w:p>
    <w:p w:rsidR="001C78A1" w:rsidRPr="00E820A9" w:rsidRDefault="001C78A1" w:rsidP="008A41D7">
      <w:pPr>
        <w:spacing w:before="240"/>
        <w:rPr>
          <w:rFonts w:ascii="Times New Roman" w:hAnsi="Times New Roman" w:cs="Times New Roman"/>
          <w:b/>
          <w:bCs/>
          <w:sz w:val="24"/>
          <w:szCs w:val="24"/>
          <w:lang w:val="it-IT"/>
        </w:rPr>
      </w:pPr>
      <w:r w:rsidRPr="009D3324">
        <w:rPr>
          <w:rFonts w:ascii="Times New Roman" w:hAnsi="Times New Roman" w:cs="Times New Roman"/>
          <w:b/>
          <w:bCs/>
          <w:sz w:val="24"/>
          <w:szCs w:val="24"/>
        </w:rPr>
        <w:t>Samane Hozeifi</w:t>
      </w:r>
      <w:r w:rsidRPr="00E820A9">
        <w:rPr>
          <w:rFonts w:ascii="Times New Roman" w:hAnsi="Times New Roman" w:cs="Times New Roman"/>
          <w:b/>
          <w:bCs/>
          <w:sz w:val="24"/>
          <w:szCs w:val="24"/>
          <w:lang w:val="it-IT"/>
        </w:rPr>
        <w:t xml:space="preserve"> </w:t>
      </w:r>
      <w:r w:rsidRPr="00E820A9">
        <w:rPr>
          <w:rFonts w:ascii="Times New Roman" w:hAnsi="Times New Roman" w:cs="Times New Roman"/>
          <w:b/>
          <w:bCs/>
          <w:sz w:val="24"/>
          <w:szCs w:val="24"/>
          <w:vertAlign w:val="superscript"/>
          <w:lang w:val="it-IT"/>
        </w:rPr>
        <w:t>1</w:t>
      </w:r>
      <w:r w:rsidRPr="00E820A9">
        <w:rPr>
          <w:rFonts w:ascii="Times New Roman" w:hAnsi="Times New Roman" w:cs="Times New Roman"/>
          <w:b/>
          <w:bCs/>
          <w:sz w:val="24"/>
          <w:szCs w:val="24"/>
          <w:lang w:val="it-IT"/>
        </w:rPr>
        <w:t xml:space="preserve">, </w:t>
      </w:r>
      <w:r w:rsidRPr="009D3324">
        <w:rPr>
          <w:rFonts w:ascii="Times New Roman" w:hAnsi="Times New Roman" w:cs="Times New Roman"/>
          <w:b/>
          <w:bCs/>
          <w:sz w:val="24"/>
          <w:szCs w:val="24"/>
        </w:rPr>
        <w:t>Farshid Abedi</w:t>
      </w:r>
      <w:r w:rsidRPr="00E820A9">
        <w:rPr>
          <w:b/>
          <w:bCs/>
          <w:sz w:val="24"/>
          <w:szCs w:val="24"/>
        </w:rPr>
        <w:t xml:space="preserve"> </w:t>
      </w:r>
      <w:r>
        <w:rPr>
          <w:rFonts w:ascii="Times New Roman" w:hAnsi="Times New Roman" w:cs="Times New Roman"/>
          <w:b/>
          <w:bCs/>
          <w:sz w:val="24"/>
          <w:szCs w:val="24"/>
          <w:vertAlign w:val="superscript"/>
          <w:lang w:val="it-IT"/>
        </w:rPr>
        <w:t>2</w:t>
      </w:r>
      <w:r w:rsidRPr="00E820A9">
        <w:rPr>
          <w:rFonts w:ascii="Times New Roman" w:hAnsi="Times New Roman" w:cs="Times New Roman"/>
          <w:b/>
          <w:bCs/>
          <w:noProof/>
          <w:sz w:val="24"/>
          <w:szCs w:val="24"/>
        </w:rPr>
        <w:t xml:space="preserve">, </w:t>
      </w:r>
      <w:r w:rsidRPr="009D3324">
        <w:rPr>
          <w:rFonts w:ascii="Times New Roman" w:hAnsi="Times New Roman" w:cs="Times New Roman"/>
          <w:b/>
          <w:bCs/>
          <w:sz w:val="24"/>
          <w:szCs w:val="24"/>
        </w:rPr>
        <w:t>Hossein Beydokhti</w:t>
      </w:r>
      <w:r w:rsidRPr="009D3324">
        <w:rPr>
          <w:rFonts w:ascii="Times New Roman" w:hAnsi="Times New Roman" w:cs="Times New Roman"/>
          <w:b/>
          <w:bCs/>
          <w:sz w:val="24"/>
          <w:szCs w:val="24"/>
          <w:vertAlign w:val="superscript"/>
          <w:lang w:val="it-IT"/>
        </w:rPr>
        <w:t xml:space="preserve"> </w:t>
      </w:r>
      <w:r>
        <w:rPr>
          <w:rFonts w:ascii="Times New Roman" w:hAnsi="Times New Roman" w:cs="Times New Roman"/>
          <w:b/>
          <w:bCs/>
          <w:sz w:val="24"/>
          <w:szCs w:val="24"/>
          <w:vertAlign w:val="superscript"/>
          <w:lang w:val="it-IT"/>
        </w:rPr>
        <w:t>3</w:t>
      </w:r>
      <w:r>
        <w:rPr>
          <w:rFonts w:ascii="Times New Roman" w:hAnsi="Times New Roman" w:cs="Times New Roman"/>
          <w:b/>
          <w:bCs/>
          <w:sz w:val="24"/>
          <w:szCs w:val="24"/>
          <w:lang w:val="it-IT"/>
        </w:rPr>
        <w:t xml:space="preserve">, </w:t>
      </w:r>
      <w:r w:rsidRPr="009D3324">
        <w:rPr>
          <w:rFonts w:ascii="Times New Roman" w:hAnsi="Times New Roman" w:cs="Times New Roman"/>
          <w:b/>
          <w:bCs/>
          <w:sz w:val="24"/>
          <w:szCs w:val="24"/>
        </w:rPr>
        <w:t>Tahereh Farkhondeh</w:t>
      </w:r>
      <w:r w:rsidRPr="009D3324">
        <w:rPr>
          <w:rFonts w:ascii="Times New Roman" w:hAnsi="Times New Roman" w:cs="Times New Roman"/>
          <w:b/>
          <w:bCs/>
          <w:sz w:val="24"/>
          <w:szCs w:val="24"/>
          <w:lang w:val="it-IT"/>
        </w:rPr>
        <w:t xml:space="preserve"> </w:t>
      </w:r>
      <w:r>
        <w:rPr>
          <w:rFonts w:ascii="Times New Roman" w:hAnsi="Times New Roman" w:cs="Times New Roman"/>
          <w:b/>
          <w:bCs/>
          <w:sz w:val="24"/>
          <w:szCs w:val="24"/>
          <w:vertAlign w:val="superscript"/>
          <w:lang w:val="it-IT"/>
        </w:rPr>
        <w:t>4</w:t>
      </w:r>
      <w:r w:rsidRPr="009D3324">
        <w:rPr>
          <w:rFonts w:ascii="Times New Roman" w:hAnsi="Times New Roman" w:cs="Times New Roman"/>
          <w:b/>
          <w:bCs/>
          <w:sz w:val="24"/>
          <w:szCs w:val="24"/>
          <w:lang w:val="it-IT"/>
        </w:rPr>
        <w:t xml:space="preserve">, </w:t>
      </w:r>
      <w:r w:rsidRPr="009D3324">
        <w:rPr>
          <w:rFonts w:ascii="Times New Roman" w:hAnsi="Times New Roman" w:cs="Times New Roman"/>
          <w:b/>
          <w:bCs/>
          <w:sz w:val="24"/>
          <w:szCs w:val="24"/>
        </w:rPr>
        <w:t>Saeed Samarghandian</w:t>
      </w:r>
      <w:r w:rsidR="00EA1005">
        <w:rPr>
          <w:rFonts w:ascii="Times New Roman" w:hAnsi="Times New Roman" w:cs="Times New Roman"/>
          <w:b/>
          <w:bCs/>
          <w:sz w:val="24"/>
          <w:szCs w:val="24"/>
          <w:vertAlign w:val="superscript"/>
          <w:lang w:val="it-IT"/>
        </w:rPr>
        <w:t>5</w:t>
      </w:r>
      <w:r w:rsidRPr="009D3324">
        <w:rPr>
          <w:rFonts w:ascii="Times New Roman" w:hAnsi="Times New Roman" w:cs="Times New Roman"/>
          <w:b/>
          <w:bCs/>
          <w:sz w:val="24"/>
          <w:szCs w:val="24"/>
        </w:rPr>
        <w:t>, Elham Atabati</w:t>
      </w:r>
      <w:r w:rsidRPr="009D3324">
        <w:rPr>
          <w:rFonts w:ascii="Times New Roman" w:hAnsi="Times New Roman" w:cs="Times New Roman"/>
          <w:b/>
          <w:bCs/>
          <w:sz w:val="24"/>
          <w:szCs w:val="24"/>
          <w:lang w:val="it-IT"/>
        </w:rPr>
        <w:t xml:space="preserve"> </w:t>
      </w:r>
      <w:r w:rsidRPr="009D3324">
        <w:rPr>
          <w:rFonts w:ascii="Times New Roman" w:hAnsi="Times New Roman" w:cs="Times New Roman"/>
          <w:b/>
          <w:bCs/>
          <w:sz w:val="24"/>
          <w:szCs w:val="24"/>
          <w:vertAlign w:val="superscript"/>
          <w:lang w:val="it-IT"/>
        </w:rPr>
        <w:t>1</w:t>
      </w:r>
      <w:r>
        <w:rPr>
          <w:rFonts w:ascii="Times New Roman" w:hAnsi="Times New Roman" w:cs="Times New Roman"/>
          <w:b/>
          <w:bCs/>
          <w:sz w:val="24"/>
          <w:szCs w:val="24"/>
          <w:vertAlign w:val="superscript"/>
          <w:lang w:val="it-IT"/>
        </w:rPr>
        <w:t>, *</w:t>
      </w:r>
    </w:p>
    <w:p w:rsidR="001C78A1" w:rsidRPr="009D3324" w:rsidRDefault="001C78A1" w:rsidP="001C78A1">
      <w:pPr>
        <w:jc w:val="lowKashida"/>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vertAlign w:val="superscript"/>
        </w:rPr>
        <w:t>1</w:t>
      </w:r>
      <w:r>
        <w:rPr>
          <w:rFonts w:ascii="Times New Roman" w:eastAsia="Calibri" w:hAnsi="Times New Roman" w:cs="Times New Roman"/>
          <w:color w:val="000000"/>
          <w:sz w:val="16"/>
          <w:szCs w:val="16"/>
        </w:rPr>
        <w:t>Clinical Research Development Unit, Valiasr Hospital</w:t>
      </w:r>
      <w:r w:rsidRPr="009D3324">
        <w:rPr>
          <w:rFonts w:ascii="Times New Roman" w:eastAsia="Calibri" w:hAnsi="Times New Roman" w:cs="Times New Roman"/>
          <w:color w:val="000000"/>
          <w:sz w:val="16"/>
          <w:szCs w:val="16"/>
        </w:rPr>
        <w:t>, Birjand University of Medical Sciences, Birjand, Iran</w:t>
      </w:r>
    </w:p>
    <w:p w:rsidR="001C78A1" w:rsidRPr="003D3604" w:rsidRDefault="003D3604" w:rsidP="003D3604">
      <w:pPr>
        <w:widowControl/>
        <w:rPr>
          <w:rFonts w:ascii="Times New Roman" w:eastAsia="Times New Roman" w:hAnsi="Times New Roman" w:cs="Times New Roman"/>
          <w:sz w:val="16"/>
          <w:szCs w:val="16"/>
          <w:lang w:bidi="fa-IR"/>
        </w:rPr>
      </w:pPr>
      <w:r>
        <w:rPr>
          <w:rFonts w:ascii="Times New Roman" w:eastAsia="Times New Roman" w:hAnsi="Times New Roman" w:cs="Times New Roman"/>
          <w:sz w:val="16"/>
          <w:szCs w:val="16"/>
          <w:vertAlign w:val="superscript"/>
          <w:lang w:bidi="fa-IR"/>
        </w:rPr>
        <w:t>2</w:t>
      </w:r>
      <w:r w:rsidRPr="003D3604">
        <w:rPr>
          <w:rFonts w:ascii="Times New Roman" w:eastAsia="Times New Roman" w:hAnsi="Times New Roman" w:cs="Times New Roman"/>
          <w:sz w:val="16"/>
          <w:szCs w:val="16"/>
          <w:lang w:bidi="fa-IR"/>
        </w:rPr>
        <w:t>Infectious Diseases Research Center, Birjand University of Medical Sciences, Birjand, Iran</w:t>
      </w:r>
      <w:r w:rsidR="001C78A1" w:rsidRPr="003D3604">
        <w:rPr>
          <w:rFonts w:ascii="Times New Roman" w:eastAsia="Calibri" w:hAnsi="Times New Roman" w:cs="Times New Roman"/>
          <w:color w:val="000000"/>
          <w:sz w:val="16"/>
          <w:szCs w:val="16"/>
        </w:rPr>
        <w:t>.</w:t>
      </w:r>
    </w:p>
    <w:p w:rsidR="001C78A1" w:rsidRPr="009D3324" w:rsidRDefault="001C78A1" w:rsidP="00B07EFE">
      <w:pPr>
        <w:rPr>
          <w:rFonts w:ascii="Times New Roman" w:eastAsia="Calibri" w:hAnsi="Times New Roman" w:cs="Times New Roman"/>
          <w:color w:val="000000"/>
          <w:sz w:val="16"/>
          <w:szCs w:val="16"/>
        </w:rPr>
      </w:pPr>
      <w:r w:rsidRPr="009D3324">
        <w:rPr>
          <w:rFonts w:ascii="Times New Roman" w:eastAsia="Calibri" w:hAnsi="Times New Roman" w:cs="Times New Roman"/>
          <w:color w:val="000000"/>
          <w:sz w:val="16"/>
          <w:szCs w:val="16"/>
          <w:vertAlign w:val="superscript"/>
        </w:rPr>
        <w:t>3</w:t>
      </w:r>
      <w:r w:rsidR="00B07EFE">
        <w:rPr>
          <w:rFonts w:ascii="Times New Roman" w:eastAsia="Calibri" w:hAnsi="Times New Roman" w:cs="Times New Roman"/>
          <w:color w:val="000000"/>
          <w:sz w:val="16"/>
          <w:szCs w:val="16"/>
        </w:rPr>
        <w:t>Instructor of Medical Library &amp; Information Sciences, Faculty of Medicine</w:t>
      </w:r>
      <w:r w:rsidRPr="009D3324">
        <w:rPr>
          <w:rFonts w:ascii="Times New Roman" w:eastAsia="Calibri" w:hAnsi="Times New Roman" w:cs="Times New Roman"/>
          <w:color w:val="000000"/>
          <w:sz w:val="16"/>
          <w:szCs w:val="16"/>
        </w:rPr>
        <w:t>, Birjand University of Medical Sciences</w:t>
      </w:r>
      <w:r w:rsidR="00B07EFE" w:rsidRPr="009D3324">
        <w:rPr>
          <w:rFonts w:ascii="Times New Roman" w:eastAsia="Calibri" w:hAnsi="Times New Roman" w:cs="Times New Roman"/>
          <w:color w:val="000000"/>
          <w:sz w:val="16"/>
          <w:szCs w:val="16"/>
        </w:rPr>
        <w:t>, Birjand. Iran</w:t>
      </w:r>
    </w:p>
    <w:p w:rsidR="001C78A1" w:rsidRPr="009D3324" w:rsidRDefault="001C78A1" w:rsidP="001C78A1">
      <w:pPr>
        <w:rPr>
          <w:rFonts w:ascii="Times New Roman" w:eastAsia="Calibri" w:hAnsi="Times New Roman" w:cs="Times New Roman"/>
          <w:color w:val="000000"/>
          <w:sz w:val="16"/>
          <w:szCs w:val="16"/>
        </w:rPr>
      </w:pPr>
      <w:r w:rsidRPr="009D3324">
        <w:rPr>
          <w:rFonts w:ascii="Times New Roman" w:eastAsia="Calibri" w:hAnsi="Times New Roman" w:cs="Times New Roman"/>
          <w:color w:val="000000"/>
          <w:sz w:val="16"/>
          <w:szCs w:val="16"/>
          <w:vertAlign w:val="superscript"/>
        </w:rPr>
        <w:t>4</w:t>
      </w:r>
      <w:r w:rsidRPr="009D3324">
        <w:rPr>
          <w:rFonts w:ascii="Times New Roman" w:eastAsia="Calibri" w:hAnsi="Times New Roman" w:cs="Times New Roman"/>
          <w:color w:val="000000"/>
          <w:sz w:val="16"/>
          <w:szCs w:val="16"/>
        </w:rPr>
        <w:t>Cardiovascular Diseases Research Center, Birjand University of Medical Sciences, Birjand. Iran.</w:t>
      </w:r>
    </w:p>
    <w:p w:rsidR="00AE3E37" w:rsidRDefault="001C78A1" w:rsidP="001C78A1">
      <w:pPr>
        <w:pStyle w:val="BodyText"/>
        <w:spacing w:before="3"/>
        <w:rPr>
          <w:rFonts w:ascii="Arial"/>
          <w:sz w:val="21"/>
        </w:rPr>
      </w:pPr>
      <w:r w:rsidRPr="009D3324">
        <w:rPr>
          <w:rFonts w:ascii="Times New Roman" w:eastAsia="Calibri" w:hAnsi="Times New Roman" w:cs="Times New Roman"/>
          <w:color w:val="000000"/>
          <w:sz w:val="16"/>
          <w:szCs w:val="16"/>
          <w:vertAlign w:val="superscript"/>
        </w:rPr>
        <w:t>5</w:t>
      </w:r>
      <w:r w:rsidRPr="009D3324">
        <w:rPr>
          <w:rFonts w:ascii="Times New Roman" w:eastAsia="Calibri" w:hAnsi="Times New Roman" w:cs="Times New Roman"/>
          <w:color w:val="000000"/>
          <w:sz w:val="16"/>
          <w:szCs w:val="16"/>
        </w:rPr>
        <w:t>Department of Basic Medical Sciences, Neyshabur University of Medical Sciences, Neyshabur, Iran</w:t>
      </w:r>
    </w:p>
    <w:p w:rsidR="00AE3E37" w:rsidRDefault="00AE3E37">
      <w:pPr>
        <w:rPr>
          <w:rFonts w:ascii="Arial"/>
          <w:sz w:val="21"/>
        </w:rPr>
        <w:sectPr w:rsidR="00AE3E37" w:rsidSect="000C3788">
          <w:headerReference w:type="default" r:id="rId7"/>
          <w:footerReference w:type="default" r:id="rId8"/>
          <w:type w:val="continuous"/>
          <w:pgSz w:w="11910" w:h="16840"/>
          <w:pgMar w:top="709"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52629" w:rsidRDefault="00F52629" w:rsidP="00F52629">
      <w:pPr>
        <w:jc w:val="both"/>
        <w:rPr>
          <w:rFonts w:ascii="Times New Roman" w:hAnsi="Times New Roman" w:cs="Times New Roman"/>
          <w:color w:val="808080" w:themeColor="background1" w:themeShade="80"/>
          <w:sz w:val="20"/>
          <w:szCs w:val="20"/>
        </w:rPr>
      </w:pPr>
      <w:r w:rsidRPr="006478E1">
        <w:rPr>
          <w:rFonts w:ascii="Times New Roman" w:hAnsi="Times New Roman" w:cs="Times New Roman"/>
          <w:bCs/>
          <w:sz w:val="20"/>
          <w:szCs w:val="20"/>
        </w:rPr>
        <w:t>Present systematic review was designed to compare the efficacy of interferon-γ release assays (IGRAs) and tuberculin skin test (TST) for diagnosing latent tuberculosis infection (LTBI) in patients subjected to the anti-TNF-α therapy. The MEDLINE (Ovid), PubMed, Embase, Scopus, Cochrane library,  and Web of Science ISI databases were searched for selecting studies to compare the efficiency of IGRAs [QuantiFERONTB Gold (QFT-GT), QuantiFERON-TB Gold In-Tube (QFT-GIT)and T-SPOT.TB] and TST in patients under the anti-TNF-α therapy. After evaluating all studies, we systemically reviewed the results of 37 studies with a total sample size of 8584 patients. The agreement between IGRASs and TST was poor to moderate, however,</w:t>
      </w:r>
      <w:r w:rsidRPr="006478E1">
        <w:rPr>
          <w:rFonts w:ascii="Times New Roman" w:hAnsi="Times New Roman" w:cs="Times New Roman" w:hint="cs"/>
          <w:bCs/>
          <w:sz w:val="20"/>
          <w:szCs w:val="20"/>
          <w:rtl/>
          <w:lang w:val="it-IT"/>
        </w:rPr>
        <w:t xml:space="preserve"> </w:t>
      </w:r>
      <w:r w:rsidRPr="006478E1">
        <w:rPr>
          <w:rFonts w:ascii="Times New Roman" w:hAnsi="Times New Roman" w:cs="Times New Roman"/>
          <w:bCs/>
          <w:sz w:val="20"/>
          <w:szCs w:val="20"/>
        </w:rPr>
        <w:t>the anti-TNF-α therapy mostly decreased the percentage of this agreement. BCG vaccination could cause false results of TST assay. The developed active TB in patients with IGRAs positive results during follow-up showed lower than TST positive patients. In conclusion, in the treated patients with anti-TNF-α with previous BCG vaccination, IGRAs might be the better assay to diagnosis LTBI by reducing the false results rate in comparison with the</w:t>
      </w:r>
      <w:r w:rsidRPr="006478E1">
        <w:rPr>
          <w:rFonts w:ascii="Times New Roman" w:hAnsi="Times New Roman" w:cs="Times New Roman" w:hint="cs"/>
          <w:bCs/>
          <w:sz w:val="20"/>
          <w:szCs w:val="20"/>
          <w:rtl/>
          <w:lang w:val="it-IT"/>
        </w:rPr>
        <w:t xml:space="preserve"> </w:t>
      </w:r>
      <w:r w:rsidRPr="006478E1">
        <w:rPr>
          <w:rFonts w:ascii="Times New Roman" w:hAnsi="Times New Roman" w:cs="Times New Roman"/>
          <w:bCs/>
          <w:sz w:val="20"/>
          <w:szCs w:val="20"/>
        </w:rPr>
        <w:t>TST. However, more investigations should be done to compare the advantage of IGRAs with conventional test in the treated patients with TNF-α antagonists</w:t>
      </w:r>
      <w:r w:rsidRPr="009D3324">
        <w:rPr>
          <w:rFonts w:ascii="Times New Roman" w:hAnsi="Times New Roman" w:cs="Times New Roman"/>
          <w:bCs/>
          <w:color w:val="808080" w:themeColor="background1" w:themeShade="80"/>
          <w:sz w:val="20"/>
          <w:szCs w:val="20"/>
        </w:rPr>
        <w:t>.</w:t>
      </w:r>
    </w:p>
    <w:p w:rsidR="00F52629" w:rsidRPr="00F66150" w:rsidRDefault="00F52629" w:rsidP="00F52629">
      <w:pPr>
        <w:jc w:val="both"/>
        <w:rPr>
          <w:rFonts w:ascii="Times New Roman" w:hAnsi="Times New Roman" w:cs="Times New Roman"/>
          <w:sz w:val="20"/>
          <w:szCs w:val="20"/>
        </w:rPr>
      </w:pPr>
      <w:r w:rsidRPr="00F66150">
        <w:rPr>
          <w:rFonts w:ascii="Times New Roman" w:hAnsi="Times New Roman" w:cs="Times New Roman"/>
          <w:b/>
          <w:sz w:val="20"/>
          <w:szCs w:val="20"/>
        </w:rPr>
        <w:t>Keywords:</w:t>
      </w:r>
      <w:r>
        <w:rPr>
          <w:rFonts w:ascii="Times New Roman" w:hAnsi="Times New Roman" w:cs="Times New Roman"/>
          <w:b/>
          <w:sz w:val="20"/>
          <w:szCs w:val="20"/>
        </w:rPr>
        <w:t xml:space="preserve"> </w:t>
      </w:r>
      <w:r w:rsidRPr="006478E1">
        <w:rPr>
          <w:rFonts w:ascii="Times New Roman" w:hAnsi="Times New Roman" w:cs="Times New Roman"/>
          <w:iCs/>
          <w:sz w:val="20"/>
          <w:szCs w:val="20"/>
        </w:rPr>
        <w:t>anti-TNF-α drug; latent tuberculosis; QuantiFERON; tuberculin skin test</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6478E1" w:rsidRPr="005A7D2B" w:rsidRDefault="00930800" w:rsidP="006478E1">
      <w:pPr>
        <w:widowControl/>
        <w:numPr>
          <w:ilvl w:val="0"/>
          <w:numId w:val="4"/>
        </w:numPr>
        <w:tabs>
          <w:tab w:val="left" w:pos="426"/>
        </w:tabs>
        <w:spacing w:after="160"/>
        <w:ind w:left="142" w:firstLine="0"/>
        <w:contextualSpacing/>
        <w:jc w:val="both"/>
        <w:rPr>
          <w:rFonts w:ascii="Times New Roman" w:hAnsi="Times New Roman" w:cs="Times New Roman"/>
          <w:color w:val="000000"/>
          <w:sz w:val="20"/>
          <w:szCs w:val="20"/>
        </w:rPr>
      </w:pPr>
      <w:r>
        <w:rPr>
          <w:rFonts w:ascii="Times New Roman" w:hAnsi="Times New Roman" w:cs="Times New Roman"/>
          <w:noProof/>
          <w:color w:val="000000"/>
          <w:sz w:val="20"/>
          <w:szCs w:val="20"/>
          <w:lang w:bidi="fa-IR"/>
        </w:rPr>
        <w:drawing>
          <wp:anchor distT="0" distB="0" distL="114300" distR="114300" simplePos="0" relativeHeight="251658240" behindDoc="0" locked="0" layoutInCell="1" allowOverlap="1">
            <wp:simplePos x="0" y="0"/>
            <wp:positionH relativeFrom="column">
              <wp:posOffset>107950</wp:posOffset>
            </wp:positionH>
            <wp:positionV relativeFrom="paragraph">
              <wp:posOffset>833755</wp:posOffset>
            </wp:positionV>
            <wp:extent cx="1107440" cy="1067435"/>
            <wp:effectExtent l="19050" t="0" r="0" b="0"/>
            <wp:wrapSquare wrapText="bothSides"/>
            <wp:docPr id="1" name="Picture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cstate="print"/>
                    <a:srcRect r="-403" b="24742"/>
                    <a:stretch>
                      <a:fillRect/>
                    </a:stretch>
                  </pic:blipFill>
                  <pic:spPr>
                    <a:xfrm>
                      <a:off x="0" y="0"/>
                      <a:ext cx="1107440" cy="1067435"/>
                    </a:xfrm>
                    <a:prstGeom prst="rect">
                      <a:avLst/>
                    </a:prstGeom>
                  </pic:spPr>
                </pic:pic>
              </a:graphicData>
            </a:graphic>
          </wp:anchor>
        </w:drawing>
      </w:r>
      <w:r w:rsidR="006478E1" w:rsidRPr="005A7D2B">
        <w:rPr>
          <w:rFonts w:ascii="Times New Roman" w:hAnsi="Times New Roman" w:cs="Times New Roman"/>
          <w:color w:val="000000"/>
          <w:sz w:val="20"/>
          <w:szCs w:val="20"/>
        </w:rPr>
        <w:t>Modi</w:t>
      </w:r>
      <w:r w:rsidR="006478E1">
        <w:rPr>
          <w:rFonts w:ascii="Times New Roman" w:hAnsi="Times New Roman" w:cs="Times New Roman"/>
          <w:color w:val="000000"/>
          <w:sz w:val="20"/>
          <w:szCs w:val="20"/>
        </w:rPr>
        <w:t>,</w:t>
      </w:r>
      <w:r w:rsidR="006478E1" w:rsidRPr="005A7D2B">
        <w:rPr>
          <w:rFonts w:ascii="Times New Roman" w:hAnsi="Times New Roman" w:cs="Times New Roman"/>
          <w:color w:val="000000"/>
          <w:sz w:val="20"/>
          <w:szCs w:val="20"/>
        </w:rPr>
        <w:t xml:space="preserve"> A</w:t>
      </w:r>
      <w:r w:rsidR="006478E1">
        <w:rPr>
          <w:rFonts w:ascii="Times New Roman" w:hAnsi="Times New Roman" w:cs="Times New Roman"/>
          <w:color w:val="000000"/>
          <w:sz w:val="20"/>
          <w:szCs w:val="20"/>
        </w:rPr>
        <w:t>.R.;</w:t>
      </w:r>
      <w:r w:rsidR="006478E1" w:rsidRPr="005A7D2B">
        <w:rPr>
          <w:rFonts w:ascii="Times New Roman" w:hAnsi="Times New Roman" w:cs="Times New Roman"/>
          <w:color w:val="000000"/>
          <w:sz w:val="20"/>
          <w:szCs w:val="20"/>
        </w:rPr>
        <w:t xml:space="preserve"> Miranda</w:t>
      </w:r>
      <w:r w:rsidR="006478E1">
        <w:rPr>
          <w:rFonts w:ascii="Times New Roman" w:hAnsi="Times New Roman" w:cs="Times New Roman"/>
          <w:color w:val="000000"/>
          <w:sz w:val="20"/>
          <w:szCs w:val="20"/>
        </w:rPr>
        <w:t>,</w:t>
      </w:r>
      <w:r w:rsidR="006478E1" w:rsidRPr="005A7D2B">
        <w:rPr>
          <w:rFonts w:ascii="Times New Roman" w:hAnsi="Times New Roman" w:cs="Times New Roman"/>
          <w:color w:val="000000"/>
          <w:sz w:val="20"/>
          <w:szCs w:val="20"/>
        </w:rPr>
        <w:t xml:space="preserve"> C</w:t>
      </w:r>
      <w:r w:rsidR="006478E1">
        <w:rPr>
          <w:rFonts w:ascii="Times New Roman" w:hAnsi="Times New Roman" w:cs="Times New Roman"/>
          <w:color w:val="000000"/>
          <w:sz w:val="20"/>
          <w:szCs w:val="20"/>
        </w:rPr>
        <w:t>.C.;</w:t>
      </w:r>
      <w:r w:rsidR="006478E1" w:rsidRPr="005A7D2B">
        <w:rPr>
          <w:rFonts w:ascii="Times New Roman" w:hAnsi="Times New Roman" w:cs="Times New Roman"/>
          <w:color w:val="000000"/>
          <w:sz w:val="20"/>
          <w:szCs w:val="20"/>
        </w:rPr>
        <w:t xml:space="preserve"> Procop</w:t>
      </w:r>
      <w:r w:rsidR="006478E1">
        <w:rPr>
          <w:rFonts w:ascii="Times New Roman" w:hAnsi="Times New Roman" w:cs="Times New Roman"/>
          <w:color w:val="000000"/>
          <w:sz w:val="20"/>
          <w:szCs w:val="20"/>
        </w:rPr>
        <w:t>,</w:t>
      </w:r>
      <w:r w:rsidR="006478E1" w:rsidRPr="005A7D2B">
        <w:rPr>
          <w:rFonts w:ascii="Times New Roman" w:hAnsi="Times New Roman" w:cs="Times New Roman"/>
          <w:color w:val="000000"/>
          <w:sz w:val="20"/>
          <w:szCs w:val="20"/>
        </w:rPr>
        <w:t xml:space="preserve"> G</w:t>
      </w:r>
      <w:r w:rsidR="006478E1">
        <w:rPr>
          <w:rFonts w:ascii="Times New Roman" w:hAnsi="Times New Roman" w:cs="Times New Roman"/>
          <w:color w:val="000000"/>
          <w:sz w:val="20"/>
          <w:szCs w:val="20"/>
        </w:rPr>
        <w:t>.W.;</w:t>
      </w:r>
      <w:r w:rsidR="006478E1" w:rsidRPr="005A7D2B">
        <w:rPr>
          <w:rFonts w:ascii="Times New Roman" w:hAnsi="Times New Roman" w:cs="Times New Roman"/>
          <w:color w:val="000000"/>
          <w:sz w:val="20"/>
          <w:szCs w:val="20"/>
        </w:rPr>
        <w:t xml:space="preserve"> Foster</w:t>
      </w:r>
      <w:r w:rsidR="006478E1">
        <w:rPr>
          <w:rFonts w:ascii="Times New Roman" w:hAnsi="Times New Roman" w:cs="Times New Roman"/>
          <w:color w:val="000000"/>
          <w:sz w:val="20"/>
          <w:szCs w:val="20"/>
        </w:rPr>
        <w:t>,</w:t>
      </w:r>
      <w:r w:rsidR="006478E1" w:rsidRPr="005A7D2B">
        <w:rPr>
          <w:rFonts w:ascii="Times New Roman" w:hAnsi="Times New Roman" w:cs="Times New Roman"/>
          <w:color w:val="000000"/>
          <w:sz w:val="20"/>
          <w:szCs w:val="20"/>
        </w:rPr>
        <w:t xml:space="preserve"> C</w:t>
      </w:r>
      <w:r w:rsidR="006478E1">
        <w:rPr>
          <w:rFonts w:ascii="Times New Roman" w:hAnsi="Times New Roman" w:cs="Times New Roman"/>
          <w:color w:val="000000"/>
          <w:sz w:val="20"/>
          <w:szCs w:val="20"/>
        </w:rPr>
        <w:t>.B.;</w:t>
      </w:r>
      <w:r w:rsidR="006478E1" w:rsidRPr="005A7D2B">
        <w:rPr>
          <w:rFonts w:ascii="Times New Roman" w:hAnsi="Times New Roman" w:cs="Times New Roman"/>
          <w:color w:val="000000"/>
          <w:sz w:val="20"/>
          <w:szCs w:val="20"/>
        </w:rPr>
        <w:t xml:space="preserve"> Harrington</w:t>
      </w:r>
      <w:r w:rsidR="006478E1">
        <w:rPr>
          <w:rFonts w:ascii="Times New Roman" w:hAnsi="Times New Roman" w:cs="Times New Roman"/>
          <w:color w:val="000000"/>
          <w:sz w:val="20"/>
          <w:szCs w:val="20"/>
        </w:rPr>
        <w:t>, S.;</w:t>
      </w:r>
      <w:r w:rsidR="006478E1" w:rsidRPr="005A7D2B">
        <w:rPr>
          <w:rFonts w:ascii="Times New Roman" w:hAnsi="Times New Roman" w:cs="Times New Roman"/>
          <w:color w:val="000000"/>
          <w:sz w:val="20"/>
          <w:szCs w:val="20"/>
        </w:rPr>
        <w:t xml:space="preserve"> Evans</w:t>
      </w:r>
      <w:r w:rsidR="006478E1">
        <w:rPr>
          <w:rFonts w:ascii="Times New Roman" w:hAnsi="Times New Roman" w:cs="Times New Roman"/>
          <w:color w:val="000000"/>
          <w:sz w:val="20"/>
          <w:szCs w:val="20"/>
        </w:rPr>
        <w:t>, D.;</w:t>
      </w:r>
      <w:r w:rsidR="006478E1" w:rsidRPr="005A7D2B">
        <w:rPr>
          <w:rFonts w:ascii="Times New Roman" w:hAnsi="Times New Roman" w:cs="Times New Roman"/>
          <w:color w:val="000000"/>
          <w:sz w:val="20"/>
          <w:szCs w:val="20"/>
        </w:rPr>
        <w:t xml:space="preserve"> Johnson</w:t>
      </w:r>
      <w:r w:rsidR="006478E1">
        <w:rPr>
          <w:rFonts w:ascii="Times New Roman" w:hAnsi="Times New Roman" w:cs="Times New Roman"/>
          <w:color w:val="000000"/>
          <w:sz w:val="20"/>
          <w:szCs w:val="20"/>
        </w:rPr>
        <w:t>,</w:t>
      </w:r>
      <w:r w:rsidR="006478E1" w:rsidRPr="005A7D2B">
        <w:rPr>
          <w:rFonts w:ascii="Times New Roman" w:hAnsi="Times New Roman" w:cs="Times New Roman"/>
          <w:color w:val="000000"/>
          <w:sz w:val="20"/>
          <w:szCs w:val="20"/>
        </w:rPr>
        <w:t xml:space="preserve"> L</w:t>
      </w:r>
      <w:r w:rsidR="006478E1">
        <w:rPr>
          <w:rFonts w:ascii="Times New Roman" w:hAnsi="Times New Roman" w:cs="Times New Roman"/>
          <w:color w:val="000000"/>
          <w:sz w:val="20"/>
          <w:szCs w:val="20"/>
        </w:rPr>
        <w:t>.T.;</w:t>
      </w:r>
      <w:r w:rsidR="006478E1" w:rsidRPr="005A7D2B">
        <w:rPr>
          <w:rFonts w:ascii="Times New Roman" w:hAnsi="Times New Roman" w:cs="Times New Roman"/>
          <w:color w:val="000000"/>
          <w:sz w:val="20"/>
          <w:szCs w:val="20"/>
        </w:rPr>
        <w:t xml:space="preserve"> Gordon</w:t>
      </w:r>
      <w:r w:rsidR="006478E1">
        <w:rPr>
          <w:rFonts w:ascii="Times New Roman" w:hAnsi="Times New Roman" w:cs="Times New Roman"/>
          <w:color w:val="000000"/>
          <w:sz w:val="20"/>
          <w:szCs w:val="20"/>
        </w:rPr>
        <w:t>,</w:t>
      </w:r>
      <w:r w:rsidR="006478E1" w:rsidRPr="005A7D2B">
        <w:rPr>
          <w:rFonts w:ascii="Times New Roman" w:hAnsi="Times New Roman" w:cs="Times New Roman"/>
          <w:color w:val="000000"/>
          <w:sz w:val="20"/>
          <w:szCs w:val="20"/>
        </w:rPr>
        <w:t xml:space="preserve"> S</w:t>
      </w:r>
      <w:r w:rsidR="006478E1">
        <w:rPr>
          <w:rFonts w:ascii="Times New Roman" w:hAnsi="Times New Roman" w:cs="Times New Roman"/>
          <w:color w:val="000000"/>
          <w:sz w:val="20"/>
          <w:szCs w:val="20"/>
        </w:rPr>
        <w:t>.</w:t>
      </w:r>
      <w:r w:rsidR="006478E1" w:rsidRPr="005A7D2B">
        <w:rPr>
          <w:rFonts w:ascii="Times New Roman" w:hAnsi="Times New Roman" w:cs="Times New Roman"/>
          <w:color w:val="000000"/>
          <w:sz w:val="20"/>
          <w:szCs w:val="20"/>
        </w:rPr>
        <w:t xml:space="preserve">M. Addressing the threat from within Investigation of respiratory symptoms in a health care worker with untreated latent </w:t>
      </w:r>
      <w:r w:rsidR="006478E1" w:rsidRPr="005A7D2B">
        <w:rPr>
          <w:rFonts w:ascii="Times New Roman" w:hAnsi="Times New Roman" w:cs="Times New Roman"/>
          <w:color w:val="000000"/>
          <w:sz w:val="20"/>
          <w:szCs w:val="20"/>
        </w:rPr>
        <w:lastRenderedPageBreak/>
        <w:t>tuberculosis infection</w:t>
      </w:r>
      <w:r w:rsidR="006478E1" w:rsidRPr="00AA6727">
        <w:rPr>
          <w:rFonts w:ascii="Times New Roman" w:hAnsi="Times New Roman" w:cs="Times New Roman"/>
          <w:i/>
          <w:color w:val="000000"/>
          <w:sz w:val="20"/>
          <w:szCs w:val="20"/>
        </w:rPr>
        <w:t>. Am J Infect Control.</w:t>
      </w:r>
      <w:r w:rsidR="006478E1">
        <w:rPr>
          <w:rFonts w:ascii="Times New Roman" w:hAnsi="Times New Roman" w:cs="Times New Roman"/>
          <w:color w:val="000000"/>
          <w:sz w:val="20"/>
          <w:szCs w:val="20"/>
        </w:rPr>
        <w:t xml:space="preserve"> </w:t>
      </w:r>
      <w:r w:rsidR="006478E1" w:rsidRPr="00AA6727">
        <w:rPr>
          <w:rFonts w:ascii="Times New Roman" w:hAnsi="Times New Roman" w:cs="Times New Roman"/>
          <w:b/>
          <w:color w:val="000000"/>
          <w:sz w:val="20"/>
          <w:szCs w:val="20"/>
        </w:rPr>
        <w:t>2019</w:t>
      </w:r>
      <w:r w:rsidR="006478E1">
        <w:rPr>
          <w:rFonts w:ascii="Times New Roman" w:hAnsi="Times New Roman" w:cs="Times New Roman"/>
          <w:color w:val="000000"/>
          <w:sz w:val="20"/>
          <w:szCs w:val="20"/>
        </w:rPr>
        <w:t xml:space="preserve">, </w:t>
      </w:r>
      <w:r w:rsidR="006478E1" w:rsidRPr="00AA6727">
        <w:rPr>
          <w:rFonts w:ascii="Times New Roman" w:hAnsi="Times New Roman" w:cs="Times New Roman"/>
          <w:i/>
          <w:color w:val="000000"/>
          <w:sz w:val="20"/>
          <w:szCs w:val="20"/>
        </w:rPr>
        <w:t>S0196-6553</w:t>
      </w:r>
      <w:r w:rsidR="006478E1">
        <w:rPr>
          <w:rFonts w:ascii="Times New Roman" w:hAnsi="Times New Roman" w:cs="Times New Roman"/>
          <w:color w:val="000000"/>
          <w:sz w:val="20"/>
          <w:szCs w:val="20"/>
        </w:rPr>
        <w:t xml:space="preserve">, 30692-3, </w:t>
      </w:r>
      <w:hyperlink r:id="rId10" w:history="1">
        <w:r w:rsidR="006478E1" w:rsidRPr="00AA6727">
          <w:rPr>
            <w:rStyle w:val="Hyperlink"/>
            <w:rFonts w:ascii="Times New Roman" w:hAnsi="Times New Roman" w:cs="Times New Roman"/>
            <w:sz w:val="20"/>
            <w:szCs w:val="20"/>
          </w:rPr>
          <w:t>https://doi.org/10.1016/j.ajic.2019.07.012</w:t>
        </w:r>
      </w:hyperlink>
      <w:r w:rsidR="006478E1">
        <w:rPr>
          <w:rFonts w:ascii="Times New Roman" w:hAnsi="Times New Roman" w:cs="Times New Roman"/>
          <w:color w:val="000000"/>
          <w:sz w:val="20"/>
          <w:szCs w:val="20"/>
        </w:rPr>
        <w:t>.</w:t>
      </w:r>
    </w:p>
    <w:p w:rsidR="006478E1" w:rsidRPr="005A7D2B" w:rsidRDefault="006478E1" w:rsidP="006478E1">
      <w:pPr>
        <w:widowControl/>
        <w:numPr>
          <w:ilvl w:val="0"/>
          <w:numId w:val="4"/>
        </w:numPr>
        <w:tabs>
          <w:tab w:val="left" w:pos="426"/>
        </w:tabs>
        <w:spacing w:after="160"/>
        <w:ind w:left="142" w:firstLine="0"/>
        <w:contextualSpacing/>
        <w:jc w:val="both"/>
        <w:rPr>
          <w:rFonts w:ascii="Times New Roman" w:hAnsi="Times New Roman" w:cs="Times New Roman"/>
          <w:color w:val="000000"/>
          <w:sz w:val="20"/>
          <w:szCs w:val="20"/>
          <w:shd w:val="clear" w:color="auto" w:fill="FFFFFF"/>
        </w:rPr>
      </w:pPr>
      <w:r w:rsidRPr="005A7D2B">
        <w:rPr>
          <w:rFonts w:ascii="Times New Roman" w:hAnsi="Times New Roman" w:cs="Times New Roman"/>
          <w:color w:val="000000"/>
          <w:sz w:val="20"/>
          <w:szCs w:val="20"/>
          <w:shd w:val="clear" w:color="auto" w:fill="FFFFFF"/>
        </w:rPr>
        <w:t>Overton</w:t>
      </w:r>
      <w:r>
        <w:rPr>
          <w:rFonts w:ascii="Times New Roman" w:hAnsi="Times New Roman" w:cs="Times New Roman"/>
          <w:color w:val="000000"/>
          <w:sz w:val="20"/>
          <w:szCs w:val="20"/>
          <w:shd w:val="clear" w:color="auto" w:fill="FFFFFF"/>
        </w:rPr>
        <w:t>, K.;</w:t>
      </w:r>
      <w:r w:rsidRPr="005A7D2B">
        <w:rPr>
          <w:rFonts w:ascii="Times New Roman" w:hAnsi="Times New Roman" w:cs="Times New Roman"/>
          <w:color w:val="000000"/>
          <w:sz w:val="20"/>
          <w:szCs w:val="20"/>
          <w:shd w:val="clear" w:color="auto" w:fill="FFFFFF"/>
        </w:rPr>
        <w:t xml:space="preserve"> Varma</w:t>
      </w:r>
      <w:r>
        <w:rPr>
          <w:rFonts w:ascii="Times New Roman" w:hAnsi="Times New Roman" w:cs="Times New Roman"/>
          <w:color w:val="000000"/>
          <w:sz w:val="20"/>
          <w:szCs w:val="20"/>
          <w:shd w:val="clear" w:color="auto" w:fill="FFFFFF"/>
        </w:rPr>
        <w:t>, R.;</w:t>
      </w:r>
      <w:r w:rsidRPr="005A7D2B">
        <w:rPr>
          <w:rFonts w:ascii="Times New Roman" w:hAnsi="Times New Roman" w:cs="Times New Roman"/>
          <w:color w:val="000000"/>
          <w:sz w:val="20"/>
          <w:szCs w:val="20"/>
          <w:shd w:val="clear" w:color="auto" w:fill="FFFFFF"/>
        </w:rPr>
        <w:t xml:space="preserve"> Post</w:t>
      </w:r>
      <w:r>
        <w:rPr>
          <w:rFonts w:ascii="Times New Roman" w:hAnsi="Times New Roman" w:cs="Times New Roman"/>
          <w:color w:val="000000"/>
          <w:sz w:val="20"/>
          <w:szCs w:val="20"/>
          <w:shd w:val="clear" w:color="auto" w:fill="FFFFFF"/>
        </w:rPr>
        <w:t>,</w:t>
      </w:r>
      <w:r w:rsidRPr="005A7D2B">
        <w:rPr>
          <w:rFonts w:ascii="Times New Roman" w:hAnsi="Times New Roman" w:cs="Times New Roman"/>
          <w:color w:val="000000"/>
          <w:sz w:val="20"/>
          <w:szCs w:val="20"/>
          <w:shd w:val="clear" w:color="auto" w:fill="FFFFFF"/>
        </w:rPr>
        <w:t xml:space="preserve"> J</w:t>
      </w:r>
      <w:r>
        <w:rPr>
          <w:rFonts w:ascii="Times New Roman" w:hAnsi="Times New Roman" w:cs="Times New Roman"/>
          <w:color w:val="000000"/>
          <w:sz w:val="20"/>
          <w:szCs w:val="20"/>
          <w:shd w:val="clear" w:color="auto" w:fill="FFFFFF"/>
        </w:rPr>
        <w:t>.</w:t>
      </w:r>
      <w:r w:rsidRPr="005A7D2B">
        <w:rPr>
          <w:rFonts w:ascii="Times New Roman" w:hAnsi="Times New Roman" w:cs="Times New Roman"/>
          <w:color w:val="000000"/>
          <w:sz w:val="20"/>
          <w:szCs w:val="20"/>
          <w:shd w:val="clear" w:color="auto" w:fill="FFFFFF"/>
        </w:rPr>
        <w:t>J.</w:t>
      </w:r>
      <w:r w:rsidRPr="005A7D2B">
        <w:rPr>
          <w:rFonts w:ascii="Times New Roman" w:hAnsi="Times New Roman" w:cs="Times New Roman"/>
          <w:color w:val="000000"/>
          <w:sz w:val="20"/>
          <w:szCs w:val="20"/>
        </w:rPr>
        <w:t xml:space="preserve"> </w:t>
      </w:r>
      <w:r w:rsidRPr="005A7D2B">
        <w:rPr>
          <w:rFonts w:ascii="Times New Roman" w:hAnsi="Times New Roman" w:cs="Times New Roman"/>
          <w:color w:val="000000"/>
          <w:sz w:val="20"/>
          <w:szCs w:val="20"/>
          <w:shd w:val="clear" w:color="auto" w:fill="FFFFFF"/>
        </w:rPr>
        <w:t>Comparison of Interferon-γ Release Assays and the Tuberculin Skin Test for Diagnosis of Tuberculosis in Human Immunodeficiency Virus: A Systematic Review.</w:t>
      </w:r>
      <w:r w:rsidRPr="005A7D2B">
        <w:rPr>
          <w:rFonts w:ascii="Times New Roman" w:hAnsi="Times New Roman" w:cs="Times New Roman"/>
          <w:color w:val="000000"/>
          <w:sz w:val="20"/>
          <w:szCs w:val="20"/>
        </w:rPr>
        <w:t xml:space="preserve"> </w:t>
      </w:r>
      <w:r w:rsidRPr="00AA6727">
        <w:rPr>
          <w:rFonts w:ascii="Times New Roman" w:hAnsi="Times New Roman" w:cs="Times New Roman"/>
          <w:i/>
          <w:color w:val="000000"/>
          <w:sz w:val="20"/>
          <w:szCs w:val="20"/>
          <w:shd w:val="clear" w:color="auto" w:fill="FFFFFF"/>
        </w:rPr>
        <w:t>Tuberc Respir Dis (Seoul).</w:t>
      </w:r>
      <w:r>
        <w:rPr>
          <w:rFonts w:ascii="Times New Roman" w:hAnsi="Times New Roman" w:cs="Times New Roman"/>
          <w:color w:val="000000"/>
          <w:sz w:val="20"/>
          <w:szCs w:val="20"/>
          <w:shd w:val="clear" w:color="auto" w:fill="FFFFFF"/>
        </w:rPr>
        <w:t xml:space="preserve"> </w:t>
      </w:r>
      <w:r w:rsidRPr="00AA6727">
        <w:rPr>
          <w:rFonts w:ascii="Times New Roman" w:hAnsi="Times New Roman" w:cs="Times New Roman"/>
          <w:b/>
          <w:color w:val="000000"/>
          <w:sz w:val="20"/>
          <w:szCs w:val="20"/>
          <w:shd w:val="clear" w:color="auto" w:fill="FFFFFF"/>
        </w:rPr>
        <w:t>2018</w:t>
      </w:r>
      <w:r>
        <w:rPr>
          <w:rFonts w:ascii="Times New Roman" w:hAnsi="Times New Roman" w:cs="Times New Roman"/>
          <w:color w:val="000000"/>
          <w:sz w:val="20"/>
          <w:szCs w:val="20"/>
          <w:shd w:val="clear" w:color="auto" w:fill="FFFFFF"/>
        </w:rPr>
        <w:t xml:space="preserve">, </w:t>
      </w:r>
      <w:r w:rsidRPr="00AA6727">
        <w:rPr>
          <w:rFonts w:ascii="Times New Roman" w:hAnsi="Times New Roman" w:cs="Times New Roman"/>
          <w:i/>
          <w:color w:val="000000"/>
          <w:sz w:val="20"/>
          <w:szCs w:val="20"/>
          <w:shd w:val="clear" w:color="auto" w:fill="FFFFFF"/>
        </w:rPr>
        <w:t>81</w:t>
      </w:r>
      <w:r>
        <w:rPr>
          <w:rFonts w:ascii="Times New Roman" w:hAnsi="Times New Roman" w:cs="Times New Roman"/>
          <w:color w:val="000000"/>
          <w:sz w:val="20"/>
          <w:szCs w:val="20"/>
          <w:shd w:val="clear" w:color="auto" w:fill="FFFFFF"/>
        </w:rPr>
        <w:t xml:space="preserve">, 59-72, </w:t>
      </w:r>
      <w:hyperlink r:id="rId11" w:history="1">
        <w:r w:rsidRPr="00AA6727">
          <w:rPr>
            <w:rStyle w:val="Hyperlink"/>
            <w:rFonts w:ascii="Times New Roman" w:hAnsi="Times New Roman" w:cs="Times New Roman"/>
            <w:sz w:val="20"/>
            <w:szCs w:val="20"/>
            <w:shd w:val="clear" w:color="auto" w:fill="FFFFFF"/>
          </w:rPr>
          <w:t>https://doi.org/10.4046/trd.2017.0072</w:t>
        </w:r>
      </w:hyperlink>
      <w:r>
        <w:rPr>
          <w:rFonts w:ascii="Times New Roman" w:hAnsi="Times New Roman" w:cs="Times New Roman"/>
          <w:color w:val="000000"/>
          <w:sz w:val="20"/>
          <w:szCs w:val="20"/>
          <w:shd w:val="clear" w:color="auto" w:fill="FFFFFF"/>
        </w:rPr>
        <w:t>.</w:t>
      </w:r>
    </w:p>
    <w:p w:rsidR="006478E1" w:rsidRPr="005A7D2B" w:rsidRDefault="006478E1" w:rsidP="006478E1">
      <w:pPr>
        <w:widowControl/>
        <w:numPr>
          <w:ilvl w:val="0"/>
          <w:numId w:val="4"/>
        </w:numPr>
        <w:tabs>
          <w:tab w:val="left" w:pos="426"/>
        </w:tabs>
        <w:spacing w:after="160"/>
        <w:ind w:left="142" w:firstLine="0"/>
        <w:contextualSpacing/>
        <w:jc w:val="both"/>
        <w:rPr>
          <w:rFonts w:ascii="Times New Roman" w:hAnsi="Times New Roman" w:cs="Times New Roman"/>
          <w:color w:val="000000"/>
          <w:sz w:val="20"/>
          <w:szCs w:val="20"/>
        </w:rPr>
      </w:pPr>
      <w:r w:rsidRPr="005A7D2B">
        <w:rPr>
          <w:rFonts w:ascii="Times New Roman" w:hAnsi="Times New Roman" w:cs="Times New Roman"/>
          <w:color w:val="000000"/>
          <w:sz w:val="20"/>
          <w:szCs w:val="20"/>
        </w:rPr>
        <w:t>Clunie</w:t>
      </w:r>
      <w:r>
        <w:rPr>
          <w:rFonts w:ascii="Times New Roman" w:hAnsi="Times New Roman" w:cs="Times New Roman"/>
          <w:color w:val="000000"/>
          <w:sz w:val="20"/>
          <w:szCs w:val="20"/>
        </w:rPr>
        <w:t>, G.;</w:t>
      </w:r>
      <w:r w:rsidRPr="005A7D2B">
        <w:rPr>
          <w:rFonts w:ascii="Times New Roman" w:hAnsi="Times New Roman" w:cs="Times New Roman"/>
          <w:color w:val="000000"/>
          <w:sz w:val="20"/>
          <w:szCs w:val="20"/>
        </w:rPr>
        <w:t xml:space="preserve"> McInnes</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I</w:t>
      </w:r>
      <w:r>
        <w:rPr>
          <w:rFonts w:ascii="Times New Roman" w:hAnsi="Times New Roman" w:cs="Times New Roman"/>
          <w:color w:val="000000"/>
          <w:sz w:val="20"/>
          <w:szCs w:val="20"/>
        </w:rPr>
        <w:t>.B.;</w:t>
      </w:r>
      <w:r w:rsidRPr="005A7D2B">
        <w:rPr>
          <w:rFonts w:ascii="Times New Roman" w:hAnsi="Times New Roman" w:cs="Times New Roman"/>
          <w:color w:val="000000"/>
          <w:sz w:val="20"/>
          <w:szCs w:val="20"/>
        </w:rPr>
        <w:t xml:space="preserve"> Barkham</w:t>
      </w:r>
      <w:r>
        <w:rPr>
          <w:rFonts w:ascii="Times New Roman" w:hAnsi="Times New Roman" w:cs="Times New Roman"/>
          <w:color w:val="000000"/>
          <w:sz w:val="20"/>
          <w:szCs w:val="20"/>
        </w:rPr>
        <w:t>, N.;</w:t>
      </w:r>
      <w:r w:rsidRPr="005A7D2B">
        <w:rPr>
          <w:rFonts w:ascii="Times New Roman" w:hAnsi="Times New Roman" w:cs="Times New Roman"/>
          <w:color w:val="000000"/>
          <w:sz w:val="20"/>
          <w:szCs w:val="20"/>
        </w:rPr>
        <w:t xml:space="preserve"> Marzo-Ortega</w:t>
      </w:r>
      <w:r>
        <w:rPr>
          <w:rFonts w:ascii="Times New Roman" w:hAnsi="Times New Roman" w:cs="Times New Roman"/>
          <w:color w:val="000000"/>
          <w:sz w:val="20"/>
          <w:szCs w:val="20"/>
        </w:rPr>
        <w:t>, H.;</w:t>
      </w:r>
      <w:r w:rsidRPr="005A7D2B">
        <w:rPr>
          <w:rFonts w:ascii="Times New Roman" w:hAnsi="Times New Roman" w:cs="Times New Roman"/>
          <w:color w:val="000000"/>
          <w:sz w:val="20"/>
          <w:szCs w:val="20"/>
        </w:rPr>
        <w:t xml:space="preserve"> Patel</w:t>
      </w:r>
      <w:r>
        <w:rPr>
          <w:rFonts w:ascii="Times New Roman" w:hAnsi="Times New Roman" w:cs="Times New Roman"/>
          <w:color w:val="000000"/>
          <w:sz w:val="20"/>
          <w:szCs w:val="20"/>
        </w:rPr>
        <w:t>, Y.;</w:t>
      </w:r>
      <w:r w:rsidRPr="005A7D2B">
        <w:rPr>
          <w:rFonts w:ascii="Times New Roman" w:hAnsi="Times New Roman" w:cs="Times New Roman"/>
          <w:color w:val="000000"/>
          <w:sz w:val="20"/>
          <w:szCs w:val="20"/>
        </w:rPr>
        <w:t xml:space="preserve"> Gough</w:t>
      </w:r>
      <w:r>
        <w:rPr>
          <w:rFonts w:ascii="Times New Roman" w:hAnsi="Times New Roman" w:cs="Times New Roman"/>
          <w:color w:val="000000"/>
          <w:sz w:val="20"/>
          <w:szCs w:val="20"/>
        </w:rPr>
        <w:t>, A.;</w:t>
      </w:r>
      <w:r w:rsidRPr="005A7D2B">
        <w:rPr>
          <w:rFonts w:ascii="Times New Roman" w:hAnsi="Times New Roman" w:cs="Times New Roman"/>
          <w:color w:val="000000"/>
          <w:sz w:val="20"/>
          <w:szCs w:val="20"/>
        </w:rPr>
        <w:t xml:space="preserve"> Packham</w:t>
      </w:r>
      <w:r>
        <w:rPr>
          <w:rFonts w:ascii="Times New Roman" w:hAnsi="Times New Roman" w:cs="Times New Roman"/>
          <w:color w:val="000000"/>
          <w:sz w:val="20"/>
          <w:szCs w:val="20"/>
        </w:rPr>
        <w:t>, J.;</w:t>
      </w:r>
      <w:r w:rsidRPr="005A7D2B">
        <w:rPr>
          <w:rFonts w:ascii="Times New Roman" w:hAnsi="Times New Roman" w:cs="Times New Roman"/>
          <w:color w:val="000000"/>
          <w:sz w:val="20"/>
          <w:szCs w:val="20"/>
        </w:rPr>
        <w:t xml:space="preserve"> Kyle</w:t>
      </w:r>
      <w:r>
        <w:rPr>
          <w:rFonts w:ascii="Times New Roman" w:hAnsi="Times New Roman" w:cs="Times New Roman"/>
          <w:color w:val="000000"/>
          <w:sz w:val="20"/>
          <w:szCs w:val="20"/>
        </w:rPr>
        <w:t>, S.;</w:t>
      </w:r>
      <w:r w:rsidRPr="005A7D2B">
        <w:rPr>
          <w:rFonts w:ascii="Times New Roman" w:hAnsi="Times New Roman" w:cs="Times New Roman"/>
          <w:color w:val="000000"/>
          <w:sz w:val="20"/>
          <w:szCs w:val="20"/>
        </w:rPr>
        <w:t xml:space="preserve"> Kirkham</w:t>
      </w:r>
      <w:r>
        <w:rPr>
          <w:rFonts w:ascii="Times New Roman" w:hAnsi="Times New Roman" w:cs="Times New Roman"/>
          <w:color w:val="000000"/>
          <w:sz w:val="20"/>
          <w:szCs w:val="20"/>
        </w:rPr>
        <w:t>, B.;</w:t>
      </w:r>
      <w:r w:rsidRPr="005A7D2B">
        <w:rPr>
          <w:rFonts w:ascii="Times New Roman" w:hAnsi="Times New Roman" w:cs="Times New Roman"/>
          <w:color w:val="000000"/>
          <w:sz w:val="20"/>
          <w:szCs w:val="20"/>
        </w:rPr>
        <w:t xml:space="preserve"> Sheeran</w:t>
      </w:r>
      <w:r>
        <w:rPr>
          <w:rFonts w:ascii="Times New Roman" w:hAnsi="Times New Roman" w:cs="Times New Roman"/>
          <w:color w:val="000000"/>
          <w:sz w:val="20"/>
          <w:szCs w:val="20"/>
        </w:rPr>
        <w:t>, T.;</w:t>
      </w:r>
      <w:r w:rsidRPr="005A7D2B">
        <w:rPr>
          <w:rFonts w:ascii="Times New Roman" w:hAnsi="Times New Roman" w:cs="Times New Roman"/>
          <w:color w:val="000000"/>
          <w:sz w:val="20"/>
          <w:szCs w:val="20"/>
        </w:rPr>
        <w:t xml:space="preserve"> Coope</w:t>
      </w:r>
      <w:r>
        <w:rPr>
          <w:rFonts w:ascii="Times New Roman" w:hAnsi="Times New Roman" w:cs="Times New Roman"/>
          <w:color w:val="000000"/>
          <w:sz w:val="20"/>
          <w:szCs w:val="20"/>
        </w:rPr>
        <w:t>. H.;</w:t>
      </w:r>
      <w:r w:rsidRPr="005A7D2B">
        <w:rPr>
          <w:rFonts w:ascii="Times New Roman" w:hAnsi="Times New Roman" w:cs="Times New Roman"/>
          <w:color w:val="000000"/>
          <w:sz w:val="20"/>
          <w:szCs w:val="20"/>
        </w:rPr>
        <w:t xml:space="preserve"> Bishop-Bailey</w:t>
      </w:r>
      <w:r>
        <w:rPr>
          <w:rFonts w:ascii="Times New Roman" w:hAnsi="Times New Roman" w:cs="Times New Roman"/>
          <w:color w:val="000000"/>
          <w:sz w:val="20"/>
          <w:szCs w:val="20"/>
        </w:rPr>
        <w:t>, A.;</w:t>
      </w:r>
      <w:r w:rsidRPr="005A7D2B">
        <w:rPr>
          <w:rFonts w:ascii="Times New Roman" w:hAnsi="Times New Roman" w:cs="Times New Roman"/>
          <w:color w:val="000000"/>
          <w:sz w:val="20"/>
          <w:szCs w:val="20"/>
        </w:rPr>
        <w:t xml:space="preserve"> McHugh</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N. Long-term effectiveness of tumour necrosis factor-α inhibitor treatment for psoriatic arthritis in the UK: a multicentre retrospective s</w:t>
      </w:r>
      <w:r>
        <w:rPr>
          <w:rFonts w:ascii="Times New Roman" w:hAnsi="Times New Roman" w:cs="Times New Roman"/>
          <w:color w:val="000000"/>
          <w:sz w:val="20"/>
          <w:szCs w:val="20"/>
        </w:rPr>
        <w:t xml:space="preserve">tudy. </w:t>
      </w:r>
      <w:r w:rsidRPr="00AF109C">
        <w:rPr>
          <w:rFonts w:ascii="Times New Roman" w:hAnsi="Times New Roman" w:cs="Times New Roman"/>
          <w:i/>
          <w:color w:val="000000"/>
          <w:sz w:val="20"/>
          <w:szCs w:val="20"/>
        </w:rPr>
        <w:t>Rheumatol Adv Pract.</w:t>
      </w:r>
      <w:r>
        <w:rPr>
          <w:rFonts w:ascii="Times New Roman" w:hAnsi="Times New Roman" w:cs="Times New Roman"/>
          <w:color w:val="000000"/>
          <w:sz w:val="20"/>
          <w:szCs w:val="20"/>
        </w:rPr>
        <w:t xml:space="preserve"> </w:t>
      </w:r>
      <w:r w:rsidRPr="00AF109C">
        <w:rPr>
          <w:rFonts w:ascii="Times New Roman" w:hAnsi="Times New Roman" w:cs="Times New Roman"/>
          <w:b/>
          <w:color w:val="000000"/>
          <w:sz w:val="20"/>
          <w:szCs w:val="20"/>
        </w:rPr>
        <w:t>2018</w:t>
      </w:r>
      <w:r>
        <w:rPr>
          <w:rFonts w:ascii="Times New Roman" w:hAnsi="Times New Roman" w:cs="Times New Roman"/>
          <w:color w:val="000000"/>
          <w:sz w:val="20"/>
          <w:szCs w:val="20"/>
        </w:rPr>
        <w:t xml:space="preserve">, </w:t>
      </w:r>
      <w:r w:rsidRPr="00AF109C">
        <w:rPr>
          <w:rFonts w:ascii="Times New Roman" w:hAnsi="Times New Roman" w:cs="Times New Roman"/>
          <w:i/>
          <w:color w:val="000000"/>
          <w:sz w:val="20"/>
          <w:szCs w:val="20"/>
        </w:rPr>
        <w:t>2</w:t>
      </w:r>
      <w:r>
        <w:rPr>
          <w:rFonts w:ascii="Times New Roman" w:hAnsi="Times New Roman" w:cs="Times New Roman"/>
          <w:color w:val="000000"/>
          <w:sz w:val="20"/>
          <w:szCs w:val="20"/>
        </w:rPr>
        <w:t xml:space="preserve">, </w:t>
      </w:r>
      <w:r w:rsidRPr="005A7D2B">
        <w:rPr>
          <w:rFonts w:ascii="Times New Roman" w:hAnsi="Times New Roman" w:cs="Times New Roman"/>
          <w:color w:val="000000"/>
          <w:sz w:val="20"/>
          <w:szCs w:val="20"/>
        </w:rPr>
        <w:t>rky042</w:t>
      </w:r>
      <w:r>
        <w:rPr>
          <w:rFonts w:ascii="Times New Roman" w:hAnsi="Times New Roman" w:cs="Times New Roman"/>
          <w:color w:val="000000"/>
          <w:sz w:val="20"/>
          <w:szCs w:val="20"/>
        </w:rPr>
        <w:t xml:space="preserve">, </w:t>
      </w:r>
      <w:hyperlink r:id="rId12" w:history="1">
        <w:r w:rsidRPr="00AF109C">
          <w:rPr>
            <w:rStyle w:val="Hyperlink"/>
            <w:rFonts w:ascii="Times New Roman" w:hAnsi="Times New Roman" w:cs="Times New Roman"/>
            <w:sz w:val="20"/>
            <w:szCs w:val="20"/>
          </w:rPr>
          <w:t>https://doi.org/10.1093/rap%2Frky042</w:t>
        </w:r>
      </w:hyperlink>
      <w:r>
        <w:rPr>
          <w:rFonts w:ascii="Times New Roman" w:hAnsi="Times New Roman" w:cs="Times New Roman"/>
          <w:color w:val="000000"/>
          <w:sz w:val="20"/>
          <w:szCs w:val="20"/>
        </w:rPr>
        <w:t>.</w:t>
      </w:r>
    </w:p>
    <w:p w:rsidR="006478E1" w:rsidRPr="005A7D2B" w:rsidRDefault="006478E1" w:rsidP="006478E1">
      <w:pPr>
        <w:widowControl/>
        <w:numPr>
          <w:ilvl w:val="0"/>
          <w:numId w:val="4"/>
        </w:numPr>
        <w:tabs>
          <w:tab w:val="left" w:pos="426"/>
        </w:tabs>
        <w:spacing w:after="160"/>
        <w:ind w:left="142" w:firstLine="0"/>
        <w:contextualSpacing/>
        <w:jc w:val="both"/>
        <w:rPr>
          <w:rFonts w:ascii="Times New Roman" w:hAnsi="Times New Roman" w:cs="Times New Roman"/>
          <w:color w:val="000000"/>
          <w:sz w:val="20"/>
          <w:szCs w:val="20"/>
        </w:rPr>
      </w:pPr>
      <w:r w:rsidRPr="005A7D2B">
        <w:rPr>
          <w:rFonts w:ascii="Times New Roman" w:hAnsi="Times New Roman" w:cs="Times New Roman"/>
          <w:color w:val="000000"/>
          <w:sz w:val="20"/>
          <w:szCs w:val="20"/>
        </w:rPr>
        <w:t>Zhang</w:t>
      </w:r>
      <w:r>
        <w:rPr>
          <w:rFonts w:ascii="Times New Roman" w:hAnsi="Times New Roman" w:cs="Times New Roman"/>
          <w:color w:val="000000"/>
          <w:sz w:val="20"/>
          <w:szCs w:val="20"/>
        </w:rPr>
        <w:t>, Z.;</w:t>
      </w:r>
      <w:r w:rsidRPr="005A7D2B">
        <w:rPr>
          <w:rFonts w:ascii="Times New Roman" w:hAnsi="Times New Roman" w:cs="Times New Roman"/>
          <w:color w:val="000000"/>
          <w:sz w:val="20"/>
          <w:szCs w:val="20"/>
        </w:rPr>
        <w:t xml:space="preserve"> Fan</w:t>
      </w:r>
      <w:r>
        <w:rPr>
          <w:rFonts w:ascii="Times New Roman" w:hAnsi="Times New Roman" w:cs="Times New Roman"/>
          <w:color w:val="000000"/>
          <w:sz w:val="20"/>
          <w:szCs w:val="20"/>
        </w:rPr>
        <w:t>, W.;</w:t>
      </w:r>
      <w:r w:rsidRPr="005A7D2B">
        <w:rPr>
          <w:rFonts w:ascii="Times New Roman" w:hAnsi="Times New Roman" w:cs="Times New Roman"/>
          <w:color w:val="000000"/>
          <w:sz w:val="20"/>
          <w:szCs w:val="20"/>
        </w:rPr>
        <w:t xml:space="preserve"> Yang</w:t>
      </w:r>
      <w:r>
        <w:rPr>
          <w:rFonts w:ascii="Times New Roman" w:hAnsi="Times New Roman" w:cs="Times New Roman"/>
          <w:color w:val="000000"/>
          <w:sz w:val="20"/>
          <w:szCs w:val="20"/>
        </w:rPr>
        <w:t>, G.;</w:t>
      </w:r>
      <w:r w:rsidRPr="005A7D2B">
        <w:rPr>
          <w:rFonts w:ascii="Times New Roman" w:hAnsi="Times New Roman" w:cs="Times New Roman"/>
          <w:color w:val="000000"/>
          <w:sz w:val="20"/>
          <w:szCs w:val="20"/>
        </w:rPr>
        <w:t xml:space="preserve"> Xu</w:t>
      </w:r>
      <w:r>
        <w:rPr>
          <w:rFonts w:ascii="Times New Roman" w:hAnsi="Times New Roman" w:cs="Times New Roman"/>
          <w:color w:val="000000"/>
          <w:sz w:val="20"/>
          <w:szCs w:val="20"/>
        </w:rPr>
        <w:t>, Z.;</w:t>
      </w:r>
      <w:r w:rsidRPr="005A7D2B">
        <w:rPr>
          <w:rFonts w:ascii="Times New Roman" w:hAnsi="Times New Roman" w:cs="Times New Roman"/>
          <w:color w:val="000000"/>
          <w:sz w:val="20"/>
          <w:szCs w:val="20"/>
        </w:rPr>
        <w:t xml:space="preserve"> Wang</w:t>
      </w:r>
      <w:r>
        <w:rPr>
          <w:rFonts w:ascii="Times New Roman" w:hAnsi="Times New Roman" w:cs="Times New Roman"/>
          <w:color w:val="000000"/>
          <w:sz w:val="20"/>
          <w:szCs w:val="20"/>
        </w:rPr>
        <w:t>, J.;</w:t>
      </w:r>
      <w:r w:rsidRPr="005A7D2B">
        <w:rPr>
          <w:rFonts w:ascii="Times New Roman" w:hAnsi="Times New Roman" w:cs="Times New Roman"/>
          <w:color w:val="000000"/>
          <w:sz w:val="20"/>
          <w:szCs w:val="20"/>
        </w:rPr>
        <w:t xml:space="preserve"> Cheng</w:t>
      </w:r>
      <w:r>
        <w:rPr>
          <w:rFonts w:ascii="Times New Roman" w:hAnsi="Times New Roman" w:cs="Times New Roman"/>
          <w:color w:val="000000"/>
          <w:sz w:val="20"/>
          <w:szCs w:val="20"/>
        </w:rPr>
        <w:t>, Q.;</w:t>
      </w:r>
      <w:r w:rsidRPr="005A7D2B">
        <w:rPr>
          <w:rFonts w:ascii="Times New Roman" w:hAnsi="Times New Roman" w:cs="Times New Roman"/>
          <w:color w:val="000000"/>
          <w:sz w:val="20"/>
          <w:szCs w:val="20"/>
        </w:rPr>
        <w:t xml:space="preserve"> Yu</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M. Risk of tuberculosis in patients treated with TNF-α antagonists: a systematic review and meta-analysis of randomised controlled trials. </w:t>
      </w:r>
      <w:r w:rsidRPr="00AF109C">
        <w:rPr>
          <w:rFonts w:ascii="Times New Roman" w:hAnsi="Times New Roman" w:cs="Times New Roman"/>
          <w:i/>
          <w:color w:val="000000"/>
          <w:sz w:val="20"/>
          <w:szCs w:val="20"/>
        </w:rPr>
        <w:t>BMJ Open</w:t>
      </w:r>
      <w:r>
        <w:rPr>
          <w:rFonts w:ascii="Times New Roman" w:hAnsi="Times New Roman" w:cs="Times New Roman"/>
          <w:color w:val="000000"/>
          <w:sz w:val="20"/>
          <w:szCs w:val="20"/>
        </w:rPr>
        <w:t xml:space="preserve"> </w:t>
      </w:r>
      <w:r w:rsidRPr="00AF109C">
        <w:rPr>
          <w:rFonts w:ascii="Times New Roman" w:hAnsi="Times New Roman" w:cs="Times New Roman"/>
          <w:b/>
          <w:color w:val="000000"/>
          <w:sz w:val="20"/>
          <w:szCs w:val="20"/>
        </w:rPr>
        <w:t>2017</w:t>
      </w:r>
      <w:r>
        <w:rPr>
          <w:rFonts w:ascii="Times New Roman" w:hAnsi="Times New Roman" w:cs="Times New Roman"/>
          <w:color w:val="000000"/>
          <w:sz w:val="20"/>
          <w:szCs w:val="20"/>
        </w:rPr>
        <w:t xml:space="preserve">, </w:t>
      </w:r>
      <w:r w:rsidRPr="00AF109C">
        <w:rPr>
          <w:rFonts w:ascii="Times New Roman" w:hAnsi="Times New Roman" w:cs="Times New Roman"/>
          <w:i/>
          <w:color w:val="000000"/>
          <w:sz w:val="20"/>
          <w:szCs w:val="20"/>
        </w:rPr>
        <w:t>7</w:t>
      </w:r>
      <w:r>
        <w:rPr>
          <w:rFonts w:ascii="Times New Roman" w:hAnsi="Times New Roman" w:cs="Times New Roman"/>
          <w:color w:val="000000"/>
          <w:sz w:val="20"/>
          <w:szCs w:val="20"/>
        </w:rPr>
        <w:t xml:space="preserve">, e012567, </w:t>
      </w:r>
      <w:hyperlink r:id="rId13" w:history="1">
        <w:r w:rsidRPr="00AF109C">
          <w:rPr>
            <w:rStyle w:val="Hyperlink"/>
            <w:rFonts w:ascii="Times New Roman" w:hAnsi="Times New Roman" w:cs="Times New Roman"/>
            <w:sz w:val="20"/>
            <w:szCs w:val="20"/>
          </w:rPr>
          <w:t>https://doi.org/10.1136/bmjopen-2016-012567</w:t>
        </w:r>
      </w:hyperlink>
      <w:r>
        <w:rPr>
          <w:rFonts w:ascii="Times New Roman" w:hAnsi="Times New Roman" w:cs="Times New Roman"/>
          <w:color w:val="000000"/>
          <w:sz w:val="20"/>
          <w:szCs w:val="20"/>
        </w:rPr>
        <w:t>.</w:t>
      </w:r>
    </w:p>
    <w:p w:rsidR="006478E1" w:rsidRPr="005A7D2B" w:rsidRDefault="006478E1" w:rsidP="006478E1">
      <w:pPr>
        <w:widowControl/>
        <w:numPr>
          <w:ilvl w:val="0"/>
          <w:numId w:val="4"/>
        </w:numPr>
        <w:tabs>
          <w:tab w:val="left" w:pos="426"/>
        </w:tabs>
        <w:spacing w:after="160"/>
        <w:ind w:left="142" w:firstLine="0"/>
        <w:contextualSpacing/>
        <w:jc w:val="both"/>
        <w:rPr>
          <w:rFonts w:ascii="Times New Roman" w:hAnsi="Times New Roman" w:cs="Times New Roman"/>
          <w:color w:val="000000"/>
          <w:sz w:val="20"/>
          <w:szCs w:val="20"/>
        </w:rPr>
      </w:pPr>
      <w:r w:rsidRPr="005A7D2B">
        <w:rPr>
          <w:rFonts w:ascii="Times New Roman" w:hAnsi="Times New Roman" w:cs="Times New Roman"/>
          <w:color w:val="000000"/>
          <w:sz w:val="20"/>
          <w:szCs w:val="20"/>
        </w:rPr>
        <w:t>Bonvicini</w:t>
      </w:r>
      <w:r>
        <w:rPr>
          <w:rFonts w:ascii="Times New Roman" w:hAnsi="Times New Roman" w:cs="Times New Roman"/>
          <w:color w:val="000000"/>
          <w:sz w:val="20"/>
          <w:szCs w:val="20"/>
        </w:rPr>
        <w:t>, F.;</w:t>
      </w:r>
      <w:r w:rsidRPr="005A7D2B">
        <w:rPr>
          <w:rFonts w:ascii="Times New Roman" w:hAnsi="Times New Roman" w:cs="Times New Roman"/>
          <w:color w:val="000000"/>
          <w:sz w:val="20"/>
          <w:szCs w:val="20"/>
        </w:rPr>
        <w:t xml:space="preserve"> Cilloni</w:t>
      </w:r>
      <w:r>
        <w:rPr>
          <w:rFonts w:ascii="Times New Roman" w:hAnsi="Times New Roman" w:cs="Times New Roman"/>
          <w:color w:val="000000"/>
          <w:sz w:val="20"/>
          <w:szCs w:val="20"/>
        </w:rPr>
        <w:t>, S.;</w:t>
      </w:r>
      <w:r w:rsidRPr="005A7D2B">
        <w:rPr>
          <w:rFonts w:ascii="Times New Roman" w:hAnsi="Times New Roman" w:cs="Times New Roman"/>
          <w:color w:val="000000"/>
          <w:sz w:val="20"/>
          <w:szCs w:val="20"/>
        </w:rPr>
        <w:t xml:space="preserve"> Fornaciari</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R</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Casoni</w:t>
      </w:r>
      <w:r>
        <w:rPr>
          <w:rFonts w:ascii="Times New Roman" w:hAnsi="Times New Roman" w:cs="Times New Roman"/>
          <w:color w:val="000000"/>
          <w:sz w:val="20"/>
          <w:szCs w:val="20"/>
        </w:rPr>
        <w:t>, C.;</w:t>
      </w:r>
      <w:r w:rsidRPr="005A7D2B">
        <w:rPr>
          <w:rFonts w:ascii="Times New Roman" w:hAnsi="Times New Roman" w:cs="Times New Roman"/>
          <w:color w:val="000000"/>
          <w:sz w:val="20"/>
          <w:szCs w:val="20"/>
        </w:rPr>
        <w:t xml:space="preserve"> Marchesi</w:t>
      </w:r>
      <w:r>
        <w:rPr>
          <w:rFonts w:ascii="Times New Roman" w:hAnsi="Times New Roman" w:cs="Times New Roman"/>
          <w:color w:val="000000"/>
          <w:sz w:val="20"/>
          <w:szCs w:val="20"/>
        </w:rPr>
        <w:t>, C.;</w:t>
      </w:r>
      <w:r w:rsidRPr="005A7D2B">
        <w:rPr>
          <w:rFonts w:ascii="Times New Roman" w:hAnsi="Times New Roman" w:cs="Times New Roman"/>
          <w:color w:val="000000"/>
          <w:sz w:val="20"/>
          <w:szCs w:val="20"/>
        </w:rPr>
        <w:t xml:space="preserve"> Greci</w:t>
      </w:r>
      <w:r>
        <w:rPr>
          <w:rFonts w:ascii="Times New Roman" w:hAnsi="Times New Roman" w:cs="Times New Roman"/>
          <w:color w:val="000000"/>
          <w:sz w:val="20"/>
          <w:szCs w:val="20"/>
        </w:rPr>
        <w:t>, M.;</w:t>
      </w:r>
      <w:r w:rsidRPr="005A7D2B">
        <w:rPr>
          <w:rFonts w:ascii="Times New Roman" w:hAnsi="Times New Roman" w:cs="Times New Roman"/>
          <w:color w:val="000000"/>
          <w:sz w:val="20"/>
          <w:szCs w:val="20"/>
        </w:rPr>
        <w:t xml:space="preserve"> Monici</w:t>
      </w:r>
      <w:r>
        <w:rPr>
          <w:rFonts w:ascii="Times New Roman" w:hAnsi="Times New Roman" w:cs="Times New Roman"/>
          <w:color w:val="000000"/>
          <w:sz w:val="20"/>
          <w:szCs w:val="20"/>
        </w:rPr>
        <w:t>, L.;</w:t>
      </w:r>
      <w:r w:rsidRPr="005A7D2B">
        <w:rPr>
          <w:rFonts w:ascii="Times New Roman" w:hAnsi="Times New Roman" w:cs="Times New Roman"/>
          <w:color w:val="000000"/>
          <w:sz w:val="20"/>
          <w:szCs w:val="20"/>
        </w:rPr>
        <w:t xml:space="preserve"> Nicolini</w:t>
      </w:r>
      <w:r>
        <w:rPr>
          <w:rFonts w:ascii="Times New Roman" w:hAnsi="Times New Roman" w:cs="Times New Roman"/>
          <w:color w:val="000000"/>
          <w:sz w:val="20"/>
          <w:szCs w:val="20"/>
        </w:rPr>
        <w:t>, F.;</w:t>
      </w:r>
      <w:r w:rsidRPr="005A7D2B">
        <w:rPr>
          <w:rFonts w:ascii="Times New Roman" w:hAnsi="Times New Roman" w:cs="Times New Roman"/>
          <w:color w:val="000000"/>
          <w:sz w:val="20"/>
          <w:szCs w:val="20"/>
        </w:rPr>
        <w:t xml:space="preserve"> Vinceti</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M. Compliance with Tuberculosis Screening in Irregular Immigrants. </w:t>
      </w:r>
      <w:r w:rsidRPr="00AF109C">
        <w:rPr>
          <w:rFonts w:ascii="Times New Roman" w:hAnsi="Times New Roman" w:cs="Times New Roman"/>
          <w:i/>
          <w:color w:val="000000"/>
          <w:sz w:val="20"/>
          <w:szCs w:val="20"/>
        </w:rPr>
        <w:t>Int J Environ Res Public Health</w:t>
      </w:r>
      <w:r>
        <w:rPr>
          <w:rFonts w:ascii="Times New Roman" w:hAnsi="Times New Roman" w:cs="Times New Roman"/>
          <w:color w:val="000000"/>
          <w:sz w:val="20"/>
          <w:szCs w:val="20"/>
        </w:rPr>
        <w:t xml:space="preserve">. </w:t>
      </w:r>
      <w:r w:rsidRPr="00AF109C">
        <w:rPr>
          <w:rFonts w:ascii="Times New Roman" w:hAnsi="Times New Roman" w:cs="Times New Roman"/>
          <w:b/>
          <w:color w:val="000000"/>
          <w:sz w:val="20"/>
          <w:szCs w:val="20"/>
        </w:rPr>
        <w:t>2018</w:t>
      </w:r>
      <w:r w:rsidRPr="00AF109C">
        <w:rPr>
          <w:rFonts w:ascii="Times New Roman" w:hAnsi="Times New Roman" w:cs="Times New Roman"/>
          <w:i/>
          <w:color w:val="000000"/>
          <w:sz w:val="20"/>
          <w:szCs w:val="20"/>
        </w:rPr>
        <w:t>, 16</w:t>
      </w:r>
      <w:r>
        <w:rPr>
          <w:rFonts w:ascii="Times New Roman" w:hAnsi="Times New Roman" w:cs="Times New Roman"/>
          <w:color w:val="000000"/>
          <w:sz w:val="20"/>
          <w:szCs w:val="20"/>
        </w:rPr>
        <w:t xml:space="preserve">, E28, </w:t>
      </w:r>
      <w:hyperlink r:id="rId14" w:history="1">
        <w:r w:rsidRPr="00AF109C">
          <w:rPr>
            <w:rStyle w:val="Hyperlink"/>
            <w:rFonts w:ascii="Times New Roman" w:hAnsi="Times New Roman" w:cs="Times New Roman"/>
            <w:sz w:val="20"/>
            <w:szCs w:val="20"/>
          </w:rPr>
          <w:t>https://doi.org/10.3390/ijerph16010028</w:t>
        </w:r>
      </w:hyperlink>
      <w:r>
        <w:rPr>
          <w:rFonts w:ascii="Times New Roman" w:hAnsi="Times New Roman" w:cs="Times New Roman"/>
          <w:color w:val="000000"/>
          <w:sz w:val="20"/>
          <w:szCs w:val="20"/>
        </w:rPr>
        <w:t>.</w:t>
      </w:r>
    </w:p>
    <w:p w:rsidR="006478E1" w:rsidRPr="005A7D2B" w:rsidRDefault="006478E1" w:rsidP="006478E1">
      <w:pPr>
        <w:widowControl/>
        <w:numPr>
          <w:ilvl w:val="0"/>
          <w:numId w:val="4"/>
        </w:numPr>
        <w:tabs>
          <w:tab w:val="left" w:pos="426"/>
        </w:tabs>
        <w:spacing w:after="160"/>
        <w:ind w:left="142" w:firstLine="0"/>
        <w:contextualSpacing/>
        <w:jc w:val="both"/>
        <w:rPr>
          <w:rFonts w:ascii="Times New Roman" w:hAnsi="Times New Roman" w:cs="Times New Roman"/>
          <w:color w:val="000000"/>
          <w:sz w:val="20"/>
          <w:szCs w:val="20"/>
        </w:rPr>
      </w:pPr>
      <w:r w:rsidRPr="005A7D2B">
        <w:rPr>
          <w:rFonts w:ascii="Times New Roman" w:hAnsi="Times New Roman" w:cs="Times New Roman"/>
          <w:color w:val="000000"/>
          <w:sz w:val="20"/>
          <w:szCs w:val="20"/>
        </w:rPr>
        <w:t>Boskovska</w:t>
      </w:r>
      <w:r>
        <w:rPr>
          <w:rFonts w:ascii="Times New Roman" w:hAnsi="Times New Roman" w:cs="Times New Roman"/>
          <w:color w:val="000000"/>
          <w:sz w:val="20"/>
          <w:szCs w:val="20"/>
        </w:rPr>
        <w:t>, K.;</w:t>
      </w:r>
      <w:r w:rsidRPr="005A7D2B">
        <w:rPr>
          <w:rFonts w:ascii="Times New Roman" w:hAnsi="Times New Roman" w:cs="Times New Roman"/>
          <w:color w:val="000000"/>
          <w:sz w:val="20"/>
          <w:szCs w:val="20"/>
        </w:rPr>
        <w:t xml:space="preserve"> Naceva-Fustic</w:t>
      </w:r>
      <w:r>
        <w:rPr>
          <w:rFonts w:ascii="Times New Roman" w:hAnsi="Times New Roman" w:cs="Times New Roman"/>
          <w:color w:val="000000"/>
          <w:sz w:val="20"/>
          <w:szCs w:val="20"/>
        </w:rPr>
        <w:t>, S.;</w:t>
      </w:r>
      <w:r w:rsidRPr="005A7D2B">
        <w:rPr>
          <w:rFonts w:ascii="Times New Roman" w:hAnsi="Times New Roman" w:cs="Times New Roman"/>
          <w:color w:val="000000"/>
          <w:sz w:val="20"/>
          <w:szCs w:val="20"/>
        </w:rPr>
        <w:t xml:space="preserve"> Simonovska</w:t>
      </w:r>
      <w:r>
        <w:rPr>
          <w:rFonts w:ascii="Times New Roman" w:hAnsi="Times New Roman" w:cs="Times New Roman"/>
          <w:color w:val="000000"/>
          <w:sz w:val="20"/>
          <w:szCs w:val="20"/>
        </w:rPr>
        <w:t>, L.;</w:t>
      </w:r>
      <w:r w:rsidRPr="005A7D2B">
        <w:rPr>
          <w:rFonts w:ascii="Times New Roman" w:hAnsi="Times New Roman" w:cs="Times New Roman"/>
          <w:color w:val="000000"/>
          <w:sz w:val="20"/>
          <w:szCs w:val="20"/>
        </w:rPr>
        <w:t xml:space="preserve"> Dilberovska</w:t>
      </w:r>
      <w:r>
        <w:rPr>
          <w:rFonts w:ascii="Times New Roman" w:hAnsi="Times New Roman" w:cs="Times New Roman"/>
          <w:color w:val="000000"/>
          <w:sz w:val="20"/>
          <w:szCs w:val="20"/>
        </w:rPr>
        <w:t>, M.;</w:t>
      </w:r>
      <w:r w:rsidRPr="005A7D2B">
        <w:rPr>
          <w:rFonts w:ascii="Times New Roman" w:hAnsi="Times New Roman" w:cs="Times New Roman"/>
          <w:color w:val="000000"/>
          <w:sz w:val="20"/>
          <w:szCs w:val="20"/>
        </w:rPr>
        <w:t xml:space="preserve"> Dacevski</w:t>
      </w:r>
      <w:r>
        <w:rPr>
          <w:rFonts w:ascii="Times New Roman" w:hAnsi="Times New Roman" w:cs="Times New Roman"/>
          <w:color w:val="000000"/>
          <w:sz w:val="20"/>
          <w:szCs w:val="20"/>
        </w:rPr>
        <w:t>, D.;</w:t>
      </w:r>
      <w:r w:rsidRPr="005A7D2B">
        <w:rPr>
          <w:rFonts w:ascii="Times New Roman" w:hAnsi="Times New Roman" w:cs="Times New Roman"/>
          <w:color w:val="000000"/>
          <w:sz w:val="20"/>
          <w:szCs w:val="20"/>
        </w:rPr>
        <w:t xml:space="preserve"> Popova</w:t>
      </w:r>
      <w:r>
        <w:rPr>
          <w:rFonts w:ascii="Times New Roman" w:hAnsi="Times New Roman" w:cs="Times New Roman"/>
          <w:color w:val="000000"/>
          <w:sz w:val="20"/>
          <w:szCs w:val="20"/>
        </w:rPr>
        <w:t>, G.;</w:t>
      </w:r>
      <w:r w:rsidRPr="005A7D2B">
        <w:rPr>
          <w:rFonts w:ascii="Times New Roman" w:hAnsi="Times New Roman" w:cs="Times New Roman"/>
          <w:color w:val="000000"/>
          <w:sz w:val="20"/>
          <w:szCs w:val="20"/>
        </w:rPr>
        <w:t xml:space="preserve"> Arnaudova</w:t>
      </w:r>
      <w:r>
        <w:rPr>
          <w:rFonts w:ascii="Times New Roman" w:hAnsi="Times New Roman" w:cs="Times New Roman"/>
          <w:color w:val="000000"/>
          <w:sz w:val="20"/>
          <w:szCs w:val="20"/>
        </w:rPr>
        <w:t>, I.;</w:t>
      </w:r>
      <w:r w:rsidRPr="005A7D2B">
        <w:rPr>
          <w:rFonts w:ascii="Times New Roman" w:hAnsi="Times New Roman" w:cs="Times New Roman"/>
          <w:color w:val="000000"/>
          <w:sz w:val="20"/>
          <w:szCs w:val="20"/>
        </w:rPr>
        <w:t xml:space="preserve"> Cakalarovska</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I. Comparison of IFN-γ Levels in Children with Tuberculosis Disease (TB) and Latent Tuberculosis Infection (LTBI). </w:t>
      </w:r>
      <w:r w:rsidRPr="00AF109C">
        <w:rPr>
          <w:rFonts w:ascii="Times New Roman" w:hAnsi="Times New Roman" w:cs="Times New Roman"/>
          <w:i/>
          <w:color w:val="000000"/>
          <w:sz w:val="20"/>
          <w:szCs w:val="20"/>
        </w:rPr>
        <w:t xml:space="preserve">Open Access Maced J Med Sci. </w:t>
      </w:r>
      <w:r w:rsidRPr="00AF109C">
        <w:rPr>
          <w:rFonts w:ascii="Times New Roman" w:hAnsi="Times New Roman" w:cs="Times New Roman"/>
          <w:b/>
          <w:color w:val="000000"/>
          <w:sz w:val="20"/>
          <w:szCs w:val="20"/>
        </w:rPr>
        <w:t>2018</w:t>
      </w:r>
      <w:r>
        <w:rPr>
          <w:rFonts w:ascii="Times New Roman" w:hAnsi="Times New Roman" w:cs="Times New Roman"/>
          <w:color w:val="000000"/>
          <w:sz w:val="20"/>
          <w:szCs w:val="20"/>
        </w:rPr>
        <w:t>,</w:t>
      </w:r>
      <w:r w:rsidRPr="005A7D2B">
        <w:rPr>
          <w:rFonts w:ascii="Times New Roman" w:hAnsi="Times New Roman" w:cs="Times New Roman"/>
          <w:color w:val="000000"/>
          <w:sz w:val="20"/>
          <w:szCs w:val="20"/>
        </w:rPr>
        <w:t xml:space="preserve"> </w:t>
      </w:r>
      <w:r w:rsidRPr="00AF109C">
        <w:rPr>
          <w:rFonts w:ascii="Times New Roman" w:hAnsi="Times New Roman" w:cs="Times New Roman"/>
          <w:i/>
          <w:color w:val="000000"/>
          <w:sz w:val="20"/>
          <w:szCs w:val="20"/>
        </w:rPr>
        <w:t>6</w:t>
      </w:r>
      <w:r>
        <w:rPr>
          <w:rFonts w:ascii="Times New Roman" w:hAnsi="Times New Roman" w:cs="Times New Roman"/>
          <w:color w:val="000000"/>
          <w:sz w:val="20"/>
          <w:szCs w:val="20"/>
        </w:rPr>
        <w:t xml:space="preserve">, </w:t>
      </w:r>
      <w:r w:rsidRPr="005A7D2B">
        <w:rPr>
          <w:rFonts w:ascii="Times New Roman" w:hAnsi="Times New Roman" w:cs="Times New Roman"/>
          <w:color w:val="000000"/>
          <w:sz w:val="20"/>
          <w:szCs w:val="20"/>
        </w:rPr>
        <w:t>2091-2096.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CE6F19" w:rsidRDefault="00D62425">
      <w:pPr>
        <w:pStyle w:val="BodyText"/>
        <w:rPr>
          <w:rFonts w:ascii="Calibri"/>
          <w:sz w:val="20"/>
        </w:rPr>
      </w:pPr>
      <w:r>
        <w:rPr>
          <w:rFonts w:ascii="Calibri"/>
          <w:sz w:val="20"/>
        </w:rPr>
        <w:lastRenderedPageBreak/>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746364">
      <w:pPr>
        <w:pStyle w:val="BodyText"/>
        <w:spacing w:line="40" w:lineRule="exact"/>
        <w:ind w:left="2202"/>
        <w:rPr>
          <w:rFonts w:ascii="Calibri"/>
          <w:sz w:val="4"/>
        </w:rPr>
      </w:pPr>
      <w:r w:rsidRPr="00746364">
        <w:rPr>
          <w:rFonts w:ascii="Calibri"/>
          <w:noProof/>
          <w:sz w:val="4"/>
          <w:lang w:val="en-IN" w:eastAsia="en-IN"/>
        </w:rPr>
      </w:r>
      <w:r w:rsidRPr="0074636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930800">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4161CE" w:rsidRPr="004161CE" w:rsidRDefault="004161CE" w:rsidP="004161CE">
      <w:pPr>
        <w:jc w:val="both"/>
        <w:rPr>
          <w:rFonts w:asciiTheme="majorBidi" w:hAnsiTheme="majorBidi" w:cstheme="majorBidi"/>
          <w:sz w:val="18"/>
          <w:szCs w:val="18"/>
        </w:rPr>
      </w:pPr>
      <w:r w:rsidRPr="004161CE">
        <w:rPr>
          <w:rFonts w:asciiTheme="majorBidi" w:hAnsiTheme="majorBidi" w:cstheme="majorBidi"/>
          <w:sz w:val="18"/>
          <w:szCs w:val="18"/>
        </w:rPr>
        <w:t xml:space="preserve">Dr Elham Atabati receives MD specialist form Shiraz University of Medical Sciences, internal medicine in 2008. She receives fellowship Rheumatology from Mashhad University of Medical Sciences, Rheumatology Department, in 2016. She manages Clinical Research Development unit of Valiasr Hospital on Birjand University of Medical Sciences from 2015.  She teaches </w:t>
      </w:r>
      <w:r w:rsidRPr="004161CE">
        <w:rPr>
          <w:rFonts w:asciiTheme="majorBidi" w:hAnsiTheme="majorBidi" w:cstheme="majorBidi"/>
          <w:color w:val="212121"/>
          <w:sz w:val="18"/>
          <w:szCs w:val="18"/>
        </w:rPr>
        <w:t>domestic Physiopathology Courses</w:t>
      </w:r>
      <w:r w:rsidRPr="004161CE">
        <w:rPr>
          <w:rFonts w:asciiTheme="majorBidi" w:hAnsiTheme="majorBidi" w:cstheme="majorBidi"/>
          <w:sz w:val="18"/>
          <w:szCs w:val="18"/>
        </w:rPr>
        <w:t xml:space="preserve">, </w:t>
      </w:r>
      <w:r w:rsidRPr="004161CE">
        <w:rPr>
          <w:rFonts w:asciiTheme="majorBidi" w:hAnsiTheme="majorBidi" w:cstheme="majorBidi"/>
          <w:color w:val="212121"/>
          <w:sz w:val="18"/>
          <w:szCs w:val="18"/>
        </w:rPr>
        <w:t>Physiopathology Course Rheumatology (theoretical and practical)</w:t>
      </w:r>
      <w:r w:rsidRPr="004161CE">
        <w:rPr>
          <w:rFonts w:asciiTheme="majorBidi" w:hAnsiTheme="majorBidi" w:cstheme="majorBidi"/>
          <w:sz w:val="18"/>
          <w:szCs w:val="18"/>
        </w:rPr>
        <w:t xml:space="preserve">, </w:t>
      </w:r>
      <w:r w:rsidRPr="004161CE">
        <w:rPr>
          <w:rFonts w:asciiTheme="majorBidi" w:hAnsiTheme="majorBidi" w:cstheme="majorBidi"/>
          <w:color w:val="212121"/>
          <w:sz w:val="18"/>
          <w:szCs w:val="18"/>
        </w:rPr>
        <w:t>Internal Semioligy Course (Theoretical and Applied)</w:t>
      </w:r>
      <w:r w:rsidRPr="004161CE">
        <w:rPr>
          <w:rFonts w:asciiTheme="majorBidi" w:hAnsiTheme="majorBidi" w:cstheme="majorBidi"/>
          <w:sz w:val="18"/>
          <w:szCs w:val="18"/>
        </w:rPr>
        <w:t xml:space="preserve">, </w:t>
      </w:r>
      <w:r w:rsidRPr="004161CE">
        <w:rPr>
          <w:rFonts w:asciiTheme="majorBidi" w:hAnsiTheme="majorBidi" w:cstheme="majorBidi"/>
          <w:color w:val="212121"/>
          <w:sz w:val="18"/>
          <w:szCs w:val="18"/>
        </w:rPr>
        <w:t>theoretical courses in the internal group (internship, residency)</w:t>
      </w:r>
      <w:r w:rsidRPr="004161CE">
        <w:rPr>
          <w:rFonts w:asciiTheme="majorBidi" w:hAnsiTheme="majorBidi" w:cstheme="majorBidi"/>
          <w:sz w:val="18"/>
          <w:szCs w:val="18"/>
        </w:rPr>
        <w:t xml:space="preserve">, </w:t>
      </w:r>
      <w:r w:rsidRPr="004161CE">
        <w:rPr>
          <w:rFonts w:asciiTheme="majorBidi" w:hAnsiTheme="majorBidi" w:cstheme="majorBidi"/>
          <w:color w:val="212121"/>
          <w:sz w:val="18"/>
          <w:szCs w:val="18"/>
        </w:rPr>
        <w:t>rheumatology lessons (teaching and practice)</w:t>
      </w:r>
      <w:r w:rsidRPr="004161CE">
        <w:rPr>
          <w:rFonts w:asciiTheme="majorBidi" w:hAnsiTheme="majorBidi" w:cstheme="majorBidi"/>
          <w:sz w:val="18"/>
          <w:szCs w:val="18"/>
        </w:rPr>
        <w:t>,</w:t>
      </w:r>
      <w:r w:rsidRPr="004161CE">
        <w:rPr>
          <w:rFonts w:asciiTheme="majorBidi" w:hAnsiTheme="majorBidi" w:cstheme="majorBidi"/>
          <w:color w:val="212121"/>
          <w:sz w:val="18"/>
          <w:szCs w:val="18"/>
        </w:rPr>
        <w:t>Teaching at medical workshops, Clinical Decision Making</w:t>
      </w:r>
      <w:r w:rsidRPr="004161CE">
        <w:rPr>
          <w:rFonts w:asciiTheme="majorBidi" w:hAnsiTheme="majorBidi" w:cstheme="majorBidi"/>
          <w:sz w:val="18"/>
          <w:szCs w:val="18"/>
        </w:rPr>
        <w:t>,</w:t>
      </w:r>
      <w:r w:rsidRPr="004161CE">
        <w:rPr>
          <w:rFonts w:asciiTheme="majorBidi" w:hAnsiTheme="majorBidi" w:cstheme="majorBidi"/>
          <w:color w:val="212121"/>
          <w:sz w:val="18"/>
          <w:szCs w:val="18"/>
        </w:rPr>
        <w:t xml:space="preserve"> Group Internship (Internal Assistance and Family Medicine Assistant)</w:t>
      </w:r>
      <w:r w:rsidRPr="004161CE">
        <w:rPr>
          <w:rFonts w:asciiTheme="majorBidi" w:hAnsiTheme="majorBidi" w:cstheme="majorBidi"/>
          <w:sz w:val="18"/>
          <w:szCs w:val="18"/>
        </w:rPr>
        <w:t xml:space="preserve">, </w:t>
      </w:r>
      <w:r w:rsidRPr="004161CE">
        <w:rPr>
          <w:rFonts w:asciiTheme="majorBidi" w:hAnsiTheme="majorBidi" w:cstheme="majorBidi"/>
          <w:color w:val="212121"/>
          <w:sz w:val="18"/>
          <w:szCs w:val="18"/>
        </w:rPr>
        <w:t>Rheumatology Course (Internal Assistance)</w:t>
      </w:r>
      <w:r w:rsidRPr="004161CE">
        <w:rPr>
          <w:rFonts w:asciiTheme="majorBidi" w:hAnsiTheme="majorBidi" w:cstheme="majorBidi"/>
          <w:sz w:val="18"/>
          <w:szCs w:val="18"/>
        </w:rPr>
        <w:t xml:space="preserve">, </w:t>
      </w:r>
      <w:r w:rsidRPr="004161CE">
        <w:rPr>
          <w:rFonts w:asciiTheme="majorBidi" w:hAnsiTheme="majorBidi" w:cstheme="majorBidi"/>
          <w:color w:val="212121"/>
          <w:sz w:val="18"/>
          <w:szCs w:val="18"/>
        </w:rPr>
        <w:t>Premises in the Family Doctor's Assistant Group</w:t>
      </w:r>
      <w:r w:rsidRPr="004161CE">
        <w:rPr>
          <w:rFonts w:asciiTheme="majorBidi" w:hAnsiTheme="majorBidi" w:cstheme="majorBidi"/>
          <w:sz w:val="18"/>
          <w:szCs w:val="18"/>
        </w:rPr>
        <w:t xml:space="preserve"> and PHD fellowship of immunology and cellular and molecular. </w:t>
      </w:r>
    </w:p>
    <w:p w:rsidR="00AE3E37" w:rsidRDefault="00A9710C" w:rsidP="00F61140">
      <w:pPr>
        <w:spacing w:before="62"/>
        <w:ind w:left="4217" w:right="4235"/>
        <w:jc w:val="center"/>
        <w:rPr>
          <w:rFonts w:ascii="Arial"/>
          <w:sz w:val="14"/>
        </w:rPr>
      </w:pPr>
      <w:r>
        <w:rPr>
          <w:rFonts w:ascii="Arial"/>
          <w:sz w:val="14"/>
        </w:rPr>
        <w:t>Email</w:t>
      </w:r>
      <w:r w:rsidR="00F61140">
        <w:rPr>
          <w:rFonts w:ascii="Arial"/>
          <w:sz w:val="14"/>
        </w:rPr>
        <w:t>: Elham1405@yahoo.com</w:t>
      </w:r>
    </w:p>
    <w:p w:rsidR="00AE3E37" w:rsidRDefault="00746364">
      <w:pPr>
        <w:pStyle w:val="BodyText"/>
        <w:spacing w:before="2"/>
        <w:rPr>
          <w:rFonts w:ascii="Arial"/>
          <w:sz w:val="19"/>
        </w:rPr>
      </w:pPr>
      <w:bookmarkStart w:id="0" w:name="_GoBack"/>
      <w:bookmarkEnd w:id="0"/>
      <w:r w:rsidRPr="0074636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F06" w:rsidRDefault="00F61F06">
      <w:r>
        <w:separator/>
      </w:r>
    </w:p>
  </w:endnote>
  <w:endnote w:type="continuationSeparator" w:id="0">
    <w:p w:rsidR="00F61F06" w:rsidRDefault="00F61F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6364">
    <w:pPr>
      <w:pStyle w:val="BodyText"/>
      <w:spacing w:line="14" w:lineRule="auto"/>
      <w:rPr>
        <w:sz w:val="20"/>
      </w:rPr>
    </w:pPr>
    <w:r w:rsidRPr="0074636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4636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4636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F06" w:rsidRDefault="00F61F06">
      <w:r>
        <w:separator/>
      </w:r>
    </w:p>
  </w:footnote>
  <w:footnote w:type="continuationSeparator" w:id="0">
    <w:p w:rsidR="00F61F06" w:rsidRDefault="00F61F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6364">
    <w:pPr>
      <w:pStyle w:val="BodyText"/>
      <w:spacing w:line="14" w:lineRule="auto"/>
      <w:rPr>
        <w:sz w:val="20"/>
      </w:rPr>
    </w:pPr>
    <w:r w:rsidRPr="0074636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4636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EDD70FD"/>
    <w:multiLevelType w:val="hybridMultilevel"/>
    <w:tmpl w:val="F4C8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C3788"/>
    <w:rsid w:val="000E2911"/>
    <w:rsid w:val="000E76AB"/>
    <w:rsid w:val="001263DF"/>
    <w:rsid w:val="001C78A1"/>
    <w:rsid w:val="001E763C"/>
    <w:rsid w:val="00292ED9"/>
    <w:rsid w:val="00314AFB"/>
    <w:rsid w:val="003B76D9"/>
    <w:rsid w:val="003D3604"/>
    <w:rsid w:val="00404E5B"/>
    <w:rsid w:val="00414F7B"/>
    <w:rsid w:val="004161CE"/>
    <w:rsid w:val="004355DC"/>
    <w:rsid w:val="004358E1"/>
    <w:rsid w:val="004749B4"/>
    <w:rsid w:val="00494130"/>
    <w:rsid w:val="004F3523"/>
    <w:rsid w:val="005973B9"/>
    <w:rsid w:val="005B3A56"/>
    <w:rsid w:val="006060CE"/>
    <w:rsid w:val="0063497F"/>
    <w:rsid w:val="006478E1"/>
    <w:rsid w:val="00746364"/>
    <w:rsid w:val="0078738A"/>
    <w:rsid w:val="00873DF0"/>
    <w:rsid w:val="008756E6"/>
    <w:rsid w:val="008A41D7"/>
    <w:rsid w:val="00930800"/>
    <w:rsid w:val="009B2D44"/>
    <w:rsid w:val="00A07E82"/>
    <w:rsid w:val="00A9710C"/>
    <w:rsid w:val="00AE3E37"/>
    <w:rsid w:val="00B07EFE"/>
    <w:rsid w:val="00B21A57"/>
    <w:rsid w:val="00C33602"/>
    <w:rsid w:val="00CD6F55"/>
    <w:rsid w:val="00CE6F19"/>
    <w:rsid w:val="00D4657A"/>
    <w:rsid w:val="00D62425"/>
    <w:rsid w:val="00DE3104"/>
    <w:rsid w:val="00E20043"/>
    <w:rsid w:val="00EA1005"/>
    <w:rsid w:val="00F52629"/>
    <w:rsid w:val="00F61140"/>
    <w:rsid w:val="00F61F06"/>
    <w:rsid w:val="00F72EEA"/>
    <w:rsid w:val="00F8136A"/>
    <w:rsid w:val="00F825A0"/>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3D360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41340140">
      <w:bodyDiv w:val="1"/>
      <w:marLeft w:val="0"/>
      <w:marRight w:val="0"/>
      <w:marTop w:val="0"/>
      <w:marBottom w:val="0"/>
      <w:divBdr>
        <w:top w:val="none" w:sz="0" w:space="0" w:color="auto"/>
        <w:left w:val="none" w:sz="0" w:space="0" w:color="auto"/>
        <w:bottom w:val="none" w:sz="0" w:space="0" w:color="auto"/>
        <w:right w:val="none" w:sz="0" w:space="0" w:color="auto"/>
      </w:divBdr>
      <w:divsChild>
        <w:div w:id="223299700">
          <w:marLeft w:val="0"/>
          <w:marRight w:val="-861"/>
          <w:marTop w:val="0"/>
          <w:marBottom w:val="20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36/bmjopen-2016-012567"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93/rap%2Frky042"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046/trd.2017.007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ajic.2019.07.012"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doi.org/10.3390/ijerph16010028"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cp:lastPrinted>2019-10-13T07:48:00Z</cp:lastPrinted>
  <dcterms:created xsi:type="dcterms:W3CDTF">2019-10-15T07:19:00Z</dcterms:created>
  <dcterms:modified xsi:type="dcterms:W3CDTF">2019-10-15T07:19:00Z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