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3C2D0B" w:rsidRDefault="003C2D0B" w:rsidP="00494130">
      <w:pPr>
        <w:pStyle w:val="Heading1"/>
        <w:spacing w:before="170"/>
        <w:ind w:left="0"/>
      </w:pPr>
      <w:r>
        <w:rPr>
          <w:color w:val="337AB7"/>
        </w:rPr>
        <w:t xml:space="preserve">Immune-phenotyping </w:t>
      </w:r>
      <w:r>
        <w:rPr>
          <w:i/>
          <w:color w:val="337AB7"/>
        </w:rPr>
        <w:t xml:space="preserve">IRF5 </w:t>
      </w:r>
      <w:r>
        <w:rPr>
          <w:color w:val="337AB7"/>
        </w:rPr>
        <w:t>genetic risk and therapeutic strategies to target IRF5 hyper-activation in SLE</w:t>
      </w:r>
    </w:p>
    <w:p w:rsidR="0078738A" w:rsidRDefault="003C2D0B"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78738A">
        <w:rPr>
          <w:rFonts w:ascii="Arial"/>
        </w:rPr>
        <w:t>B</w:t>
      </w:r>
      <w:r>
        <w:rPr>
          <w:rFonts w:ascii="Arial"/>
        </w:rPr>
        <w:t xml:space="preserve">etsy J. Barnes, PhD, Center for Autoimmune Musculoskeletal and Hematopoietic Diseases, Feinstein Institute for Medical Research, </w:t>
      </w:r>
      <w:r w:rsidR="005973B9">
        <w:rPr>
          <w:rFonts w:ascii="Arial"/>
        </w:rPr>
        <w:t>USA</w:t>
      </w:r>
      <w:r>
        <w:rPr>
          <w:rFonts w:ascii="Arial"/>
        </w:rPr>
        <w:t xml:space="preserve">; Departments of Molecular Medicine and Pediatrics, </w:t>
      </w:r>
      <w:proofErr w:type="spellStart"/>
      <w:r>
        <w:rPr>
          <w:rFonts w:ascii="Arial"/>
        </w:rPr>
        <w:t>Zucker</w:t>
      </w:r>
      <w:proofErr w:type="spellEnd"/>
      <w:r>
        <w:rPr>
          <w:rFonts w:ascii="Arial"/>
        </w:rPr>
        <w:t xml:space="preserve"> School of Medicine at Hofstra-</w:t>
      </w:r>
      <w:proofErr w:type="spellStart"/>
      <w:r>
        <w:rPr>
          <w:rFonts w:ascii="Arial"/>
        </w:rPr>
        <w:t>Northwell</w:t>
      </w:r>
      <w:proofErr w:type="spellEnd"/>
      <w:r>
        <w:rPr>
          <w:rFonts w:ascii="Arial"/>
        </w:rPr>
        <w:t>, USA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A9710C">
      <w:pPr>
        <w:pStyle w:val="BodyText"/>
        <w:spacing w:before="90" w:line="280" w:lineRule="auto"/>
        <w:ind w:left="100"/>
        <w:jc w:val="both"/>
      </w:pPr>
      <w:r>
        <w:t xml:space="preserve">Statement of the Problem: </w:t>
      </w:r>
      <w:r w:rsidR="003C2D0B" w:rsidRPr="00555979">
        <w:rPr>
          <w:color w:val="000000"/>
        </w:rPr>
        <w:t xml:space="preserve">The transcription factor interferon regulatory factor 5 (IRF5) is a central mediator of innate and adaptive immunity. Genetic variations within </w:t>
      </w:r>
      <w:r w:rsidR="003C2D0B" w:rsidRPr="00555979">
        <w:rPr>
          <w:i/>
          <w:color w:val="000000"/>
        </w:rPr>
        <w:t xml:space="preserve">IRF5 </w:t>
      </w:r>
      <w:r w:rsidR="003C2D0B" w:rsidRPr="00555979">
        <w:rPr>
          <w:color w:val="000000"/>
        </w:rPr>
        <w:t>associate with risk of systemic lupus erythematosus (SLE)</w:t>
      </w:r>
      <w:r w:rsidR="003C2D0B">
        <w:rPr>
          <w:color w:val="000000"/>
        </w:rPr>
        <w:t>, amongst other autoimmune diseases,</w:t>
      </w:r>
      <w:r w:rsidR="003C2D0B" w:rsidRPr="00555979">
        <w:rPr>
          <w:color w:val="000000"/>
        </w:rPr>
        <w:t xml:space="preserve"> and mice lacking </w:t>
      </w:r>
      <w:r w:rsidR="003C2D0B" w:rsidRPr="00555979">
        <w:rPr>
          <w:i/>
          <w:color w:val="000000"/>
        </w:rPr>
        <w:t xml:space="preserve">Irf5 </w:t>
      </w:r>
      <w:r w:rsidR="003C2D0B" w:rsidRPr="00555979">
        <w:rPr>
          <w:color w:val="000000"/>
        </w:rPr>
        <w:t xml:space="preserve">are protected from lupus onset and severity, but how IRF5 functions in the context of SLE disease progression remains unclear. </w:t>
      </w:r>
      <w:r>
        <w:t>The purpose of this study is to</w:t>
      </w:r>
      <w:r w:rsidR="00404E5B">
        <w:t xml:space="preserve"> </w:t>
      </w:r>
      <w:r w:rsidR="003C2D0B">
        <w:t xml:space="preserve">determine how </w:t>
      </w:r>
      <w:r w:rsidR="003C2D0B">
        <w:rPr>
          <w:i/>
        </w:rPr>
        <w:t xml:space="preserve">IRF5 </w:t>
      </w:r>
      <w:r w:rsidR="003C2D0B">
        <w:t xml:space="preserve">genetic risk contributes to SLE disease onset and severity, and whether targeting IRF5 with select inhibitors will alleviate disease severity and mortality.  </w:t>
      </w:r>
      <w:r>
        <w:t xml:space="preserve"> Methodolog</w:t>
      </w:r>
      <w:r w:rsidR="0078738A">
        <w:t xml:space="preserve">y &amp; Theoretical Orientation: </w:t>
      </w:r>
      <w:r w:rsidR="003C2D0B">
        <w:t xml:space="preserve">Studies were performed in blood from genotyped healthy donors, SLE patients and the NZB/W F1 model of spontaneous murine lupus. </w:t>
      </w:r>
      <w:r>
        <w:t xml:space="preserve">Findings: </w:t>
      </w:r>
      <w:r w:rsidR="003C2D0B" w:rsidRPr="00555979">
        <w:rPr>
          <w:color w:val="000000"/>
        </w:rPr>
        <w:t xml:space="preserve">Using the NZB/W F1 model of spontaneous murine lupus, we show that murine Irf5 is already hyper-activated before clinical onset in a cell type-specific manner. In healthy donors carrying </w:t>
      </w:r>
      <w:r w:rsidR="003C2D0B" w:rsidRPr="00555979">
        <w:rPr>
          <w:i/>
          <w:color w:val="000000"/>
        </w:rPr>
        <w:t xml:space="preserve">IRF5 </w:t>
      </w:r>
      <w:r w:rsidR="003C2D0B" w:rsidRPr="00555979">
        <w:rPr>
          <w:color w:val="000000"/>
        </w:rPr>
        <w:t xml:space="preserve">genetic risk, we detect IRF5 hyper-activation in the myeloid compartment that drives an SLE immune-phenotype. In SLE patients, IRF5 hyper-activation correlates with SLEDAI and dsDNA titers. To test whether IRF5 hyper-activation is a targetable function, we developed novel inhibitors that are cell permeable, non-toxic and selectively bind to the inactive IRF5 monomer. Treatment of NZB/W F1 mice with inhibitor attenuated lupus pathology by reducing serum ANA and dsDNA titers and reducing the number of circulating plasma cells and age- or autoimmune-associated B cells (ABCs), which alleviated kidney pathology and improved overall survival. In </w:t>
      </w:r>
      <w:r w:rsidR="003C2D0B" w:rsidRPr="00555979">
        <w:rPr>
          <w:i/>
          <w:color w:val="000000"/>
        </w:rPr>
        <w:t xml:space="preserve">ex vivo </w:t>
      </w:r>
      <w:r w:rsidR="003C2D0B" w:rsidRPr="00555979">
        <w:rPr>
          <w:color w:val="000000"/>
        </w:rPr>
        <w:t xml:space="preserve">human studies, the inhibitor blocked SLE serum-induced IRF5 activation in healthy immune cells and reversed basal IRF5 hyper-activation in SLE immune cells. </w:t>
      </w:r>
      <w:r>
        <w:t>Conclusion &amp; Significance</w:t>
      </w:r>
      <w:r w:rsidR="003C2D0B">
        <w:t xml:space="preserve">:  This study provides the first </w:t>
      </w:r>
      <w:r w:rsidR="003C2D0B">
        <w:rPr>
          <w:i/>
        </w:rPr>
        <w:t xml:space="preserve">in vivo </w:t>
      </w:r>
      <w:r w:rsidR="003C2D0B">
        <w:t>pre-clinical support for treating SLE patients with an IRF5 inhibitor.</w:t>
      </w:r>
      <w:r>
        <w:t xml:space="preserve">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FB5729" w:rsidP="005973B9">
      <w:pPr>
        <w:pStyle w:val="ListParagraph"/>
        <w:numPr>
          <w:ilvl w:val="0"/>
          <w:numId w:val="3"/>
        </w:numPr>
        <w:tabs>
          <w:tab w:val="left" w:pos="384"/>
        </w:tabs>
        <w:spacing w:before="103" w:line="216" w:lineRule="exact"/>
        <w:ind w:right="138" w:hanging="283"/>
        <w:rPr>
          <w:sz w:val="18"/>
        </w:rPr>
      </w:pPr>
      <w:r>
        <w:rPr>
          <w:sz w:val="18"/>
        </w:rPr>
        <w:t>Matta B, Barnes BJ</w:t>
      </w:r>
      <w:r w:rsidR="005973B9">
        <w:rPr>
          <w:sz w:val="18"/>
        </w:rPr>
        <w:t xml:space="preserve"> (20</w:t>
      </w:r>
      <w:r>
        <w:rPr>
          <w:sz w:val="18"/>
        </w:rPr>
        <w:t>1</w:t>
      </w:r>
      <w:r w:rsidR="005973B9">
        <w:rPr>
          <w:sz w:val="18"/>
        </w:rPr>
        <w:t xml:space="preserve">9) </w:t>
      </w:r>
      <w:r>
        <w:rPr>
          <w:sz w:val="18"/>
        </w:rPr>
        <w:t>Coordination between innate immune cells, type I IFNs and IRF5 drives SLE pathogenesis. Cytokine 23:154731</w:t>
      </w:r>
      <w:r w:rsidR="005973B9" w:rsidRPr="005973B9">
        <w:rPr>
          <w:sz w:val="18"/>
        </w:rPr>
        <w:t>.</w:t>
      </w:r>
    </w:p>
    <w:p w:rsidR="005973B9" w:rsidRDefault="00FB5729" w:rsidP="005973B9">
      <w:pPr>
        <w:pStyle w:val="ListParagraph"/>
        <w:numPr>
          <w:ilvl w:val="0"/>
          <w:numId w:val="3"/>
        </w:numPr>
        <w:tabs>
          <w:tab w:val="left" w:pos="384"/>
        </w:tabs>
        <w:spacing w:line="216" w:lineRule="exact"/>
        <w:ind w:right="137" w:hanging="283"/>
        <w:rPr>
          <w:sz w:val="18"/>
        </w:rPr>
      </w:pPr>
      <w:r>
        <w:rPr>
          <w:sz w:val="18"/>
        </w:rPr>
        <w:t>Barnes BJ</w:t>
      </w:r>
      <w:r w:rsidR="005973B9">
        <w:rPr>
          <w:sz w:val="18"/>
        </w:rPr>
        <w:t xml:space="preserve"> (20</w:t>
      </w:r>
      <w:r>
        <w:rPr>
          <w:sz w:val="18"/>
        </w:rPr>
        <w:t xml:space="preserve">19) Genetic versus non-genetic drivers of SLE:  Implications of IRF5 dysregulation in both roads leading to SLE. </w:t>
      </w:r>
      <w:proofErr w:type="spellStart"/>
      <w:r>
        <w:rPr>
          <w:sz w:val="18"/>
        </w:rPr>
        <w:t>Curr</w:t>
      </w:r>
      <w:proofErr w:type="spellEnd"/>
      <w:r>
        <w:rPr>
          <w:sz w:val="18"/>
        </w:rPr>
        <w:t xml:space="preserve"> </w:t>
      </w:r>
      <w:proofErr w:type="spellStart"/>
      <w:r>
        <w:rPr>
          <w:sz w:val="18"/>
        </w:rPr>
        <w:t>Rheumatol</w:t>
      </w:r>
      <w:proofErr w:type="spellEnd"/>
      <w:r>
        <w:rPr>
          <w:sz w:val="18"/>
        </w:rPr>
        <w:t xml:space="preserve"> Rep 21</w:t>
      </w:r>
      <w:r w:rsidR="005973B9">
        <w:rPr>
          <w:sz w:val="18"/>
        </w:rPr>
        <w:t>:</w:t>
      </w:r>
      <w:r>
        <w:rPr>
          <w:sz w:val="18"/>
        </w:rPr>
        <w:t>2</w:t>
      </w:r>
      <w:r w:rsidR="005973B9">
        <w:rPr>
          <w:sz w:val="18"/>
        </w:rPr>
        <w:t>.</w:t>
      </w:r>
    </w:p>
    <w:p w:rsidR="005973B9" w:rsidRDefault="00FB5729" w:rsidP="005973B9">
      <w:pPr>
        <w:pStyle w:val="ListParagraph"/>
        <w:numPr>
          <w:ilvl w:val="0"/>
          <w:numId w:val="3"/>
        </w:numPr>
        <w:tabs>
          <w:tab w:val="left" w:pos="384"/>
        </w:tabs>
        <w:spacing w:line="216" w:lineRule="exact"/>
        <w:ind w:right="138" w:hanging="283"/>
        <w:rPr>
          <w:sz w:val="18"/>
        </w:rPr>
      </w:pPr>
      <w:proofErr w:type="spellStart"/>
      <w:r>
        <w:rPr>
          <w:sz w:val="18"/>
        </w:rPr>
        <w:t>Akilesh</w:t>
      </w:r>
      <w:proofErr w:type="spellEnd"/>
      <w:r>
        <w:rPr>
          <w:sz w:val="18"/>
        </w:rPr>
        <w:t xml:space="preserve"> HM et al.</w:t>
      </w:r>
      <w:r w:rsidR="005973B9">
        <w:rPr>
          <w:sz w:val="18"/>
        </w:rPr>
        <w:t xml:space="preserve"> (20</w:t>
      </w:r>
      <w:r>
        <w:rPr>
          <w:sz w:val="18"/>
        </w:rPr>
        <w:t>19</w:t>
      </w:r>
      <w:r w:rsidR="005973B9">
        <w:rPr>
          <w:sz w:val="18"/>
        </w:rPr>
        <w:t>)</w:t>
      </w:r>
      <w:r>
        <w:rPr>
          <w:sz w:val="18"/>
        </w:rPr>
        <w:t xml:space="preserve"> Chronic TLR7 and TLR9 signaling drives anemia via differentiation of specialized </w:t>
      </w:r>
      <w:proofErr w:type="spellStart"/>
      <w:r>
        <w:rPr>
          <w:sz w:val="18"/>
        </w:rPr>
        <w:t>hemophagocytes</w:t>
      </w:r>
      <w:proofErr w:type="spellEnd"/>
      <w:r>
        <w:rPr>
          <w:sz w:val="18"/>
        </w:rPr>
        <w:t xml:space="preserve">. </w:t>
      </w:r>
      <w:r w:rsidR="005973B9">
        <w:rPr>
          <w:sz w:val="18"/>
        </w:rPr>
        <w:t>S</w:t>
      </w:r>
      <w:r w:rsidR="00145682">
        <w:rPr>
          <w:sz w:val="18"/>
        </w:rPr>
        <w:t>cience 363(6423)</w:t>
      </w:r>
      <w:r w:rsidR="005973B9">
        <w:rPr>
          <w:sz w:val="18"/>
        </w:rPr>
        <w:t>.</w:t>
      </w:r>
    </w:p>
    <w:p w:rsidR="005973B9" w:rsidRDefault="00145682" w:rsidP="005973B9">
      <w:pPr>
        <w:pStyle w:val="ListParagraph"/>
        <w:numPr>
          <w:ilvl w:val="0"/>
          <w:numId w:val="3"/>
        </w:numPr>
        <w:tabs>
          <w:tab w:val="left" w:pos="384"/>
        </w:tabs>
        <w:spacing w:before="92" w:line="218" w:lineRule="exact"/>
        <w:ind w:hanging="283"/>
        <w:rPr>
          <w:sz w:val="18"/>
        </w:rPr>
      </w:pPr>
      <w:r>
        <w:rPr>
          <w:sz w:val="18"/>
        </w:rPr>
        <w:t>Thompson CD, Matta B, Barnes BJ</w:t>
      </w:r>
      <w:r w:rsidR="005973B9">
        <w:rPr>
          <w:sz w:val="18"/>
        </w:rPr>
        <w:t xml:space="preserve"> (20</w:t>
      </w:r>
      <w:r>
        <w:rPr>
          <w:sz w:val="18"/>
        </w:rPr>
        <w:t>18</w:t>
      </w:r>
      <w:r w:rsidR="005973B9">
        <w:rPr>
          <w:sz w:val="18"/>
        </w:rPr>
        <w:t xml:space="preserve">) </w:t>
      </w:r>
      <w:r>
        <w:rPr>
          <w:sz w:val="18"/>
        </w:rPr>
        <w:t xml:space="preserve">Therapeutic targeting of IRFs:  Pathway dependence or structure-based? Front </w:t>
      </w:r>
      <w:proofErr w:type="spellStart"/>
      <w:r>
        <w:rPr>
          <w:sz w:val="18"/>
        </w:rPr>
        <w:t>Immunol</w:t>
      </w:r>
      <w:proofErr w:type="spellEnd"/>
    </w:p>
    <w:p w:rsidR="005973B9" w:rsidRDefault="00145682" w:rsidP="005973B9">
      <w:pPr>
        <w:pStyle w:val="BodyText"/>
        <w:spacing w:line="218" w:lineRule="exact"/>
        <w:ind w:left="383"/>
        <w:rPr>
          <w:rFonts w:ascii="Calibri"/>
        </w:rPr>
      </w:pPr>
      <w:r>
        <w:rPr>
          <w:rFonts w:ascii="Calibri"/>
        </w:rPr>
        <w:t>9</w:t>
      </w:r>
      <w:r w:rsidR="005973B9" w:rsidRPr="005973B9">
        <w:rPr>
          <w:rFonts w:ascii="Calibri"/>
        </w:rPr>
        <w:t>:</w:t>
      </w:r>
      <w:r>
        <w:rPr>
          <w:rFonts w:ascii="Calibri"/>
        </w:rPr>
        <w:t>2622</w:t>
      </w:r>
      <w:r w:rsidR="005973B9" w:rsidRPr="005973B9">
        <w:rPr>
          <w:rFonts w:ascii="Calibri"/>
        </w:rPr>
        <w:t>.</w:t>
      </w:r>
    </w:p>
    <w:p w:rsidR="005973B9" w:rsidRDefault="00145682" w:rsidP="005973B9">
      <w:pPr>
        <w:pStyle w:val="BodyText"/>
        <w:spacing w:before="85" w:line="216" w:lineRule="exact"/>
        <w:ind w:left="383" w:right="138" w:hanging="284"/>
        <w:jc w:val="both"/>
        <w:rPr>
          <w:rFonts w:ascii="Calibri" w:hAnsi="Calibri"/>
        </w:rPr>
      </w:pPr>
      <w:r>
        <w:rPr>
          <w:rFonts w:ascii="Calibri" w:hAnsi="Calibri"/>
        </w:rPr>
        <w:t xml:space="preserve">5. </w:t>
      </w:r>
      <w:r>
        <w:rPr>
          <w:rFonts w:ascii="Calibri" w:hAnsi="Calibri"/>
        </w:rPr>
        <w:tab/>
      </w:r>
      <w:bookmarkStart w:id="0" w:name="_GoBack"/>
      <w:bookmarkEnd w:id="0"/>
      <w:r>
        <w:rPr>
          <w:rFonts w:ascii="Calibri" w:hAnsi="Calibri"/>
        </w:rPr>
        <w:t>Matta B, Song S, Li D, Barnes BJ</w:t>
      </w:r>
      <w:r w:rsidR="005973B9">
        <w:rPr>
          <w:rFonts w:ascii="Calibri" w:hAnsi="Calibri"/>
        </w:rPr>
        <w:t xml:space="preserve"> (20</w:t>
      </w:r>
      <w:r>
        <w:rPr>
          <w:rFonts w:ascii="Calibri" w:hAnsi="Calibri"/>
        </w:rPr>
        <w:t>17) Interferon regulatory factor signaling in autoimmune disease</w:t>
      </w:r>
      <w:r w:rsidR="005973B9">
        <w:rPr>
          <w:rFonts w:ascii="Calibri" w:hAnsi="Calibri"/>
          <w:spacing w:val="-4"/>
        </w:rPr>
        <w:t xml:space="preserve">. </w:t>
      </w:r>
      <w:r>
        <w:rPr>
          <w:rFonts w:ascii="Calibri" w:hAnsi="Calibri"/>
        </w:rPr>
        <w:t>Cytokine 98:15</w:t>
      </w:r>
      <w:r w:rsidR="005973B9">
        <w:rPr>
          <w:rFonts w:ascii="Calibri" w:hAnsi="Calibri"/>
        </w:rPr>
        <w:t>-</w:t>
      </w:r>
      <w:r>
        <w:rPr>
          <w:rFonts w:ascii="Calibri" w:hAnsi="Calibri"/>
        </w:rPr>
        <w:t>26</w:t>
      </w:r>
      <w:r w:rsidR="005973B9">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CC09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A5ECF" w:rsidRDefault="00FB5729" w:rsidP="00404E5B">
      <w:pPr>
        <w:spacing w:before="92"/>
        <w:ind w:right="4234"/>
        <w:rPr>
          <w:noProof/>
        </w:rPr>
      </w:pPr>
      <w:r>
        <w:rPr>
          <w:noProof/>
        </w:rPr>
        <w:t xml:space="preserve">    </w:t>
      </w:r>
      <w:r w:rsidR="008756E6">
        <w:rPr>
          <w:noProof/>
        </w:rPr>
        <w:t xml:space="preserve"> </w:t>
      </w:r>
      <w:r w:rsidR="00AA5ECF" w:rsidRPr="00A81905">
        <w:rPr>
          <w:noProof/>
        </w:rPr>
        <w:drawing>
          <wp:inline distT="0" distB="0" distL="0" distR="0" wp14:anchorId="0F210397" wp14:editId="009371B4">
            <wp:extent cx="1499870" cy="1609090"/>
            <wp:effectExtent l="0" t="0" r="508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9870" cy="160909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A5ECF" w:rsidRPr="00AA5ECF" w:rsidRDefault="00AA5ECF" w:rsidP="00AA5ECF">
      <w:pPr>
        <w:autoSpaceDE w:val="0"/>
        <w:autoSpaceDN w:val="0"/>
        <w:adjustRightInd w:val="0"/>
        <w:rPr>
          <w:rFonts w:ascii="Arial" w:hAnsi="Arial" w:cs="Arial"/>
          <w:sz w:val="14"/>
          <w:szCs w:val="14"/>
        </w:rPr>
      </w:pPr>
      <w:r w:rsidRPr="00AA5ECF">
        <w:rPr>
          <w:rFonts w:ascii="Arial" w:hAnsi="Arial" w:cs="Arial"/>
          <w:sz w:val="14"/>
          <w:szCs w:val="14"/>
          <w:lang w:val="en"/>
        </w:rPr>
        <w:t xml:space="preserve">Dr. Barnes received her PhD in Medicinal Chemistry from the University of North Carolina at Chapel Hill in 1999. She then did her postdoctoral training as a fellow in the NIH-sponsored Anti-Cancer Drug Development program in the Department of Oncology at Johns Hopkins University Sidney Kimmel Comprehensive Cancer Center. She became an Assistant Professor at Johns Hopkins and later moved her laboratory to Rutgers University in 2006 where she was promoted to Associate Professor. In 2015, she moved her laboratory to The Feinstein Institute for Medical Research at </w:t>
      </w:r>
      <w:proofErr w:type="spellStart"/>
      <w:r w:rsidRPr="00AA5ECF">
        <w:rPr>
          <w:rFonts w:ascii="Arial" w:hAnsi="Arial" w:cs="Arial"/>
          <w:sz w:val="14"/>
          <w:szCs w:val="14"/>
          <w:lang w:val="en"/>
        </w:rPr>
        <w:t>Northwell</w:t>
      </w:r>
      <w:proofErr w:type="spellEnd"/>
      <w:r w:rsidRPr="00AA5ECF">
        <w:rPr>
          <w:rFonts w:ascii="Arial" w:hAnsi="Arial" w:cs="Arial"/>
          <w:sz w:val="14"/>
          <w:szCs w:val="14"/>
          <w:lang w:val="en"/>
        </w:rPr>
        <w:t xml:space="preserve"> Health and was appointed to the position of Professor and Head of the Laboratory of Autoimmune and Cancer Research.  </w:t>
      </w:r>
    </w:p>
    <w:p w:rsidR="00AE3E37" w:rsidRDefault="00A9710C">
      <w:pPr>
        <w:spacing w:before="62"/>
        <w:ind w:left="4217" w:right="4235"/>
        <w:jc w:val="center"/>
        <w:rPr>
          <w:rFonts w:ascii="Arial"/>
          <w:sz w:val="14"/>
        </w:rPr>
      </w:pPr>
      <w:r>
        <w:rPr>
          <w:rFonts w:ascii="Arial"/>
          <w:sz w:val="14"/>
        </w:rPr>
        <w:t xml:space="preserve">Email: </w:t>
      </w:r>
      <w:hyperlink r:id="rId10" w:history="1">
        <w:r w:rsidR="00AA5ECF" w:rsidRPr="00627925">
          <w:rPr>
            <w:rStyle w:val="Hyperlink"/>
            <w:rFonts w:ascii="Arial"/>
            <w:sz w:val="14"/>
          </w:rPr>
          <w:t>bbarnes1@northwell.edu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9902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5682"/>
    <w:rsid w:val="001E763C"/>
    <w:rsid w:val="00292ED9"/>
    <w:rsid w:val="0029533B"/>
    <w:rsid w:val="00314AFB"/>
    <w:rsid w:val="003B76D9"/>
    <w:rsid w:val="003C2D0B"/>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A5ECF"/>
    <w:rsid w:val="00AE3E37"/>
    <w:rsid w:val="00B21A57"/>
    <w:rsid w:val="00C33602"/>
    <w:rsid w:val="00CD6F55"/>
    <w:rsid w:val="00D62425"/>
    <w:rsid w:val="00DE3104"/>
    <w:rsid w:val="00F72EEA"/>
    <w:rsid w:val="00F8136A"/>
    <w:rsid w:val="00F84CAE"/>
    <w:rsid w:val="00FB5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D0C9F53-21FC-4F6D-AA25-977B3E41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barnes1@northwell.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Barnes, Betsy J</cp:lastModifiedBy>
  <cp:revision>5</cp:revision>
  <dcterms:created xsi:type="dcterms:W3CDTF">2019-10-10T15:02:00Z</dcterms:created>
  <dcterms:modified xsi:type="dcterms:W3CDTF">2019-10-10T15:19:00Z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