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60C76" w14:textId="77777777" w:rsidR="00BB0D22" w:rsidRPr="00BB0D22" w:rsidRDefault="00BB0D22" w:rsidP="00BB0D22">
      <w:pPr>
        <w:widowControl/>
        <w:suppressAutoHyphens/>
        <w:autoSpaceDN w:val="0"/>
        <w:spacing w:after="160"/>
        <w:jc w:val="both"/>
        <w:textAlignment w:val="baseline"/>
        <w:rPr>
          <w:rFonts w:ascii="Arial" w:eastAsia="Calibri" w:hAnsi="Arial" w:cs="Arial"/>
          <w:b/>
          <w:sz w:val="24"/>
          <w:szCs w:val="24"/>
          <w:lang w:val="en-GB"/>
        </w:rPr>
      </w:pPr>
      <w:r w:rsidRPr="00BB0D22">
        <w:rPr>
          <w:rFonts w:ascii="Arial" w:eastAsia="Calibri" w:hAnsi="Arial" w:cs="Arial"/>
          <w:b/>
          <w:sz w:val="24"/>
          <w:szCs w:val="24"/>
          <w:lang w:val="en-GB"/>
        </w:rPr>
        <w:t>Switching from reference to biosimilar rituximab in rheumatoid arthritis patients: experience from a single rheumatology centre.</w:t>
      </w:r>
    </w:p>
    <w:p w14:paraId="5726FEC0" w14:textId="01C68134" w:rsidR="00AF1E6F" w:rsidRPr="00AF1E6F" w:rsidRDefault="0078738A" w:rsidP="00AF1E6F">
      <w:pPr>
        <w:pStyle w:val="Corpotesto"/>
        <w:spacing w:before="73" w:line="198" w:lineRule="exact"/>
        <w:ind w:left="100" w:right="5987"/>
        <w:rPr>
          <w:rFonts w:ascii="Arial"/>
        </w:rPr>
      </w:pPr>
      <w:r>
        <w:rPr>
          <w:rFonts w:ascii="Arial"/>
        </w:rPr>
        <w:t xml:space="preserve">Dr </w:t>
      </w:r>
      <w:r w:rsidR="00AF1E6F">
        <w:rPr>
          <w:rFonts w:ascii="Arial"/>
        </w:rPr>
        <w:t>Renna Daniela, MD, University of Bari, Italy</w:t>
      </w:r>
    </w:p>
    <w:p w14:paraId="78067C7B" w14:textId="25EAAA58" w:rsidR="00AF1E6F" w:rsidRPr="00AF1E6F" w:rsidRDefault="00AF1E6F" w:rsidP="00AF1E6F">
      <w:pPr>
        <w:pStyle w:val="Corpotesto"/>
        <w:spacing w:before="73" w:line="198" w:lineRule="exact"/>
        <w:ind w:left="100" w:right="5987"/>
        <w:rPr>
          <w:rFonts w:ascii="Arial"/>
        </w:rPr>
      </w:pPr>
      <w:r>
        <w:rPr>
          <w:rFonts w:ascii="Arial"/>
        </w:rPr>
        <w:t xml:space="preserve">Dr </w:t>
      </w:r>
      <w:proofErr w:type="spellStart"/>
      <w:r>
        <w:rPr>
          <w:rFonts w:ascii="Arial"/>
        </w:rPr>
        <w:t>Cacciapaglia</w:t>
      </w:r>
      <w:proofErr w:type="spellEnd"/>
      <w:r>
        <w:rPr>
          <w:rFonts w:ascii="Arial"/>
        </w:rPr>
        <w:t xml:space="preserve"> Fabio, MD, Rheumatology Unit, </w:t>
      </w:r>
      <w:proofErr w:type="spellStart"/>
      <w:proofErr w:type="gramStart"/>
      <w:r>
        <w:rPr>
          <w:rFonts w:ascii="Arial"/>
        </w:rPr>
        <w:t>Bari,Italy</w:t>
      </w:r>
      <w:proofErr w:type="spellEnd"/>
      <w:proofErr w:type="gramEnd"/>
    </w:p>
    <w:p w14:paraId="5D87FF98" w14:textId="279C8535" w:rsidR="005973B9" w:rsidRDefault="00AF1E6F" w:rsidP="00AF1E6F">
      <w:pPr>
        <w:pStyle w:val="Corpotesto"/>
        <w:spacing w:before="73" w:line="198" w:lineRule="exact"/>
        <w:ind w:left="100" w:right="5987"/>
        <w:rPr>
          <w:rFonts w:ascii="Arial"/>
        </w:rPr>
      </w:pPr>
      <w:r>
        <w:rPr>
          <w:rFonts w:ascii="Arial"/>
        </w:rPr>
        <w:t xml:space="preserve">Prof. </w:t>
      </w:r>
      <w:r w:rsidRPr="00AF1E6F">
        <w:rPr>
          <w:rFonts w:ascii="Arial"/>
        </w:rPr>
        <w:t xml:space="preserve">Iannone </w:t>
      </w:r>
      <w:proofErr w:type="spellStart"/>
      <w:r w:rsidRPr="00AF1E6F">
        <w:rPr>
          <w:rFonts w:ascii="Arial"/>
        </w:rPr>
        <w:t>F</w:t>
      </w:r>
      <w:r>
        <w:rPr>
          <w:rFonts w:ascii="Arial"/>
        </w:rPr>
        <w:t>lorenzo</w:t>
      </w:r>
      <w:proofErr w:type="spellEnd"/>
      <w:r>
        <w:rPr>
          <w:rFonts w:ascii="Arial"/>
        </w:rPr>
        <w:t>, Associate Professor,</w:t>
      </w:r>
      <w:r w:rsidR="00F64C2E">
        <w:rPr>
          <w:rFonts w:ascii="Arial"/>
        </w:rPr>
        <w:t xml:space="preserve"> </w:t>
      </w:r>
      <w:r>
        <w:rPr>
          <w:rFonts w:ascii="Arial"/>
        </w:rPr>
        <w:t>Rheumatology Unit, Bari, Italy</w:t>
      </w:r>
    </w:p>
    <w:p w14:paraId="45656327" w14:textId="77777777" w:rsidR="00AE3E37" w:rsidRDefault="00AE3E37">
      <w:pPr>
        <w:pStyle w:val="Corpotesto"/>
        <w:rPr>
          <w:rFonts w:ascii="Arial"/>
          <w:sz w:val="20"/>
        </w:rPr>
      </w:pPr>
    </w:p>
    <w:p w14:paraId="5D99AF73" w14:textId="77777777" w:rsidR="00AE3E37" w:rsidRDefault="00AE3E37">
      <w:pPr>
        <w:pStyle w:val="Corpotesto"/>
        <w:spacing w:before="3"/>
        <w:rPr>
          <w:rFonts w:ascii="Arial"/>
          <w:sz w:val="21"/>
        </w:rPr>
      </w:pPr>
    </w:p>
    <w:p w14:paraId="6BECB84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3664C0A" w14:textId="50E5AC52" w:rsidR="00AE3E37" w:rsidRDefault="00A9710C">
      <w:pPr>
        <w:pStyle w:val="Titolo3"/>
        <w:spacing w:before="147"/>
        <w:jc w:val="both"/>
      </w:pPr>
      <w:r>
        <w:rPr>
          <w:color w:val="BF5A14"/>
        </w:rPr>
        <w:t>Abstract</w:t>
      </w:r>
      <w:r w:rsidR="00404E5B">
        <w:rPr>
          <w:color w:val="BF5A14"/>
        </w:rPr>
        <w:t xml:space="preserve"> </w:t>
      </w:r>
    </w:p>
    <w:p w14:paraId="69125102" w14:textId="357CCF3C" w:rsidR="00AE3E37" w:rsidRDefault="00BB0D22">
      <w:pPr>
        <w:pStyle w:val="Titolo3"/>
        <w:spacing w:before="74"/>
      </w:pPr>
      <w:r w:rsidRPr="00BB0D22">
        <w:rPr>
          <w:rFonts w:ascii="Tw Cen MT" w:eastAsia="Tw Cen MT" w:hAnsi="Tw Cen MT" w:cs="Tw Cen MT"/>
          <w:b w:val="0"/>
          <w:bCs w:val="0"/>
          <w:sz w:val="18"/>
          <w:szCs w:val="18"/>
          <w:u w:val="single"/>
          <w:lang w:val="en-GB"/>
        </w:rPr>
        <w:t>Statement of the problem</w:t>
      </w:r>
      <w:r w:rsidRPr="00BB0D22">
        <w:rPr>
          <w:rFonts w:ascii="Tw Cen MT" w:eastAsia="Tw Cen MT" w:hAnsi="Tw Cen MT" w:cs="Tw Cen MT"/>
          <w:b w:val="0"/>
          <w:bCs w:val="0"/>
          <w:sz w:val="18"/>
          <w:szCs w:val="18"/>
          <w:lang w:val="en-GB"/>
        </w:rPr>
        <w:t xml:space="preserve">: clinical and real-word data on the effects of switching are currently limited to transition studies of approved biosimilars. Few data have been published about the outcome of switching from reference to biosimilar rituximab in rheumatoid arthritis (RA) and this monocentric study aimed to evaluate the effectiveness and safety of this switching. </w:t>
      </w:r>
      <w:r w:rsidRPr="00BB0D22">
        <w:rPr>
          <w:rFonts w:ascii="Tw Cen MT" w:eastAsia="Tw Cen MT" w:hAnsi="Tw Cen MT" w:cs="Tw Cen MT"/>
          <w:b w:val="0"/>
          <w:bCs w:val="0"/>
          <w:sz w:val="18"/>
          <w:szCs w:val="18"/>
          <w:u w:val="single"/>
          <w:lang w:val="en-GB"/>
        </w:rPr>
        <w:t>Material and methods</w:t>
      </w:r>
      <w:r w:rsidRPr="00BB0D22">
        <w:rPr>
          <w:rFonts w:ascii="Tw Cen MT" w:eastAsia="Tw Cen MT" w:hAnsi="Tw Cen MT" w:cs="Tw Cen MT"/>
          <w:b w:val="0"/>
          <w:bCs w:val="0"/>
          <w:sz w:val="18"/>
          <w:szCs w:val="18"/>
          <w:lang w:val="en-GB"/>
        </w:rPr>
        <w:t>: we evaluated</w:t>
      </w:r>
      <w:r w:rsidRPr="00BB0D22">
        <w:rPr>
          <w:rFonts w:ascii="Tw Cen MT" w:eastAsia="Tw Cen MT" w:hAnsi="Tw Cen MT" w:cs="Tw Cen MT"/>
          <w:b w:val="0"/>
          <w:bCs w:val="0"/>
          <w:sz w:val="18"/>
          <w:szCs w:val="18"/>
        </w:rPr>
        <w:t xml:space="preserve"> </w:t>
      </w:r>
      <w:r w:rsidRPr="00BB0D22">
        <w:rPr>
          <w:rFonts w:ascii="Tw Cen MT" w:eastAsia="Tw Cen MT" w:hAnsi="Tw Cen MT" w:cs="Tw Cen MT"/>
          <w:b w:val="0"/>
          <w:bCs w:val="0"/>
          <w:sz w:val="18"/>
          <w:szCs w:val="18"/>
          <w:lang w:val="en-GB"/>
        </w:rPr>
        <w:t xml:space="preserve">RA patients who consented to switch to biosimilar RTX with a 52-weeks follow-up. Clinical and laboratory findings, DAS28, CDAI and SDAI, as well as any adverse events (AEs) have been recorded, before the first dose and 6 and 12 months after the switch. </w:t>
      </w:r>
      <w:r w:rsidRPr="00BB0D22">
        <w:rPr>
          <w:rFonts w:ascii="Tw Cen MT" w:eastAsia="Tw Cen MT" w:hAnsi="Tw Cen MT" w:cs="Tw Cen MT"/>
          <w:b w:val="0"/>
          <w:bCs w:val="0"/>
          <w:sz w:val="18"/>
          <w:szCs w:val="18"/>
          <w:u w:val="single"/>
          <w:lang w:val="en-GB"/>
        </w:rPr>
        <w:t>Results</w:t>
      </w:r>
      <w:r w:rsidRPr="00BB0D22">
        <w:rPr>
          <w:rFonts w:ascii="Tw Cen MT" w:eastAsia="Tw Cen MT" w:hAnsi="Tw Cen MT" w:cs="Tw Cen MT"/>
          <w:b w:val="0"/>
          <w:bCs w:val="0"/>
          <w:sz w:val="18"/>
          <w:szCs w:val="18"/>
          <w:lang w:val="en-GB"/>
        </w:rPr>
        <w:t xml:space="preserve">: a total of 62 RA patients consented to switch after a median (IQR) of 12 (6-14) cycles of reference RTX. At last follow-up visit of reference RTX a mean of 2,2±1,0, 3,7±4,3 and 4,2±4,4 of DAS28, CDAI and SDAI, respectively, were observed. After switching to biosimilar RTX no statistically significant changes in DAS28, CDAI and SDAI were observed. At 12months after switching to biosimilar RTX, 50 (81%), 54 (87%) and 56 (90%) patients were still on remission/low-disease activity according to DAS28, CDAI and SDAI, respectively (p&gt;0,05). In biosimilar RTX we registered 3 cases of leukopenia, 9 infections and 5 hospitalizations. All cases were resolved after RTX suspension and specific antibiotic treatment. These AEs occurred after a global exposure to 11 (4-11) cycles of RTX in biosimilar RTX. Similar conditions have been already observed during treatment with reference RTX (3 leukopenia; 15 infections; 3 hospitalizations) after 8 (5-12) cycles. </w:t>
      </w:r>
      <w:r w:rsidRPr="00BB0D22">
        <w:rPr>
          <w:rFonts w:ascii="Tw Cen MT" w:eastAsia="Tw Cen MT" w:hAnsi="Tw Cen MT" w:cs="Tw Cen MT"/>
          <w:b w:val="0"/>
          <w:bCs w:val="0"/>
          <w:sz w:val="18"/>
          <w:szCs w:val="18"/>
          <w:u w:val="single"/>
          <w:lang w:val="en-GB"/>
        </w:rPr>
        <w:t>Conclusion</w:t>
      </w:r>
      <w:r w:rsidRPr="00BB0D22">
        <w:rPr>
          <w:rFonts w:ascii="Tw Cen MT" w:eastAsia="Tw Cen MT" w:hAnsi="Tw Cen MT" w:cs="Tw Cen MT"/>
          <w:b w:val="0"/>
          <w:bCs w:val="0"/>
          <w:sz w:val="18"/>
          <w:szCs w:val="18"/>
          <w:lang w:val="en-GB"/>
        </w:rPr>
        <w:t xml:space="preserve">: our study demonstrates the maintenance of effectiveness of biosimilar after switching from reference RTX. On safety concerns are more relevant the cumulative and repeated administrations of RTX rather than the use of the biosimilar. </w:t>
      </w:r>
      <w:r w:rsidR="00A9710C">
        <w:rPr>
          <w:b w:val="0"/>
        </w:rPr>
        <w:br w:type="column"/>
      </w:r>
      <w:r w:rsidR="00A9710C">
        <w:rPr>
          <w:color w:val="BF5A14"/>
        </w:rPr>
        <w:t>Image</w:t>
      </w:r>
    </w:p>
    <w:p w14:paraId="7EBAA791" w14:textId="3AD3B934" w:rsidR="00AE3E37" w:rsidRDefault="00F64C2E">
      <w:pPr>
        <w:pStyle w:val="Corpotesto"/>
        <w:spacing w:before="2"/>
        <w:rPr>
          <w:rFonts w:ascii="Arial"/>
          <w:b/>
          <w:sz w:val="16"/>
        </w:rPr>
      </w:pPr>
      <w:r>
        <w:rPr>
          <w:rFonts w:ascii="Arial"/>
          <w:b/>
          <w:noProof/>
          <w:sz w:val="16"/>
        </w:rPr>
        <w:drawing>
          <wp:inline distT="0" distB="0" distL="0" distR="0" wp14:anchorId="2712B4D9" wp14:editId="3A2648BB">
            <wp:extent cx="3416300" cy="2258063"/>
            <wp:effectExtent l="0" t="0" r="0" b="889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5766" cy="2264320"/>
                    </a:xfrm>
                    <a:prstGeom prst="rect">
                      <a:avLst/>
                    </a:prstGeom>
                    <a:noFill/>
                  </pic:spPr>
                </pic:pic>
              </a:graphicData>
            </a:graphic>
          </wp:inline>
        </w:drawing>
      </w:r>
    </w:p>
    <w:p w14:paraId="59BB70D1" w14:textId="13EC3FD0" w:rsidR="005973B9" w:rsidRDefault="00F64C2E" w:rsidP="005973B9">
      <w:pPr>
        <w:spacing w:line="204" w:lineRule="exact"/>
        <w:rPr>
          <w:rFonts w:ascii="Arial"/>
          <w:b/>
          <w:sz w:val="20"/>
        </w:rPr>
      </w:pPr>
      <w:r w:rsidRPr="00F64C2E">
        <w:rPr>
          <w:rFonts w:ascii="Arial"/>
          <w:b/>
          <w:color w:val="BF5A14"/>
          <w:sz w:val="20"/>
        </w:rPr>
        <w:drawing>
          <wp:inline distT="0" distB="0" distL="0" distR="0" wp14:anchorId="6958D179" wp14:editId="650ABB0A">
            <wp:extent cx="3165475" cy="2091690"/>
            <wp:effectExtent l="0" t="0" r="0" b="3810"/>
            <wp:docPr id="3" name="Immagine 6">
              <a:extLst xmlns:a="http://schemas.openxmlformats.org/drawingml/2006/main">
                <a:ext uri="{FF2B5EF4-FFF2-40B4-BE49-F238E27FC236}">
                  <a16:creationId xmlns:a16="http://schemas.microsoft.com/office/drawing/2014/main" id="{5907DCFD-C034-4CF5-9867-6B69954C81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6">
                      <a:extLst>
                        <a:ext uri="{FF2B5EF4-FFF2-40B4-BE49-F238E27FC236}">
                          <a16:creationId xmlns:a16="http://schemas.microsoft.com/office/drawing/2014/main" id="{5907DCFD-C034-4CF5-9867-6B69954C8170}"/>
                        </a:ext>
                      </a:extLst>
                    </pic:cNvPr>
                    <pic:cNvPicPr>
                      <a:picLocks noChangeAspect="1"/>
                    </pic:cNvPicPr>
                  </pic:nvPicPr>
                  <pic:blipFill>
                    <a:blip r:embed="rId10"/>
                    <a:stretch>
                      <a:fillRect/>
                    </a:stretch>
                  </pic:blipFill>
                  <pic:spPr>
                    <a:xfrm>
                      <a:off x="0" y="0"/>
                      <a:ext cx="3165475" cy="2091690"/>
                    </a:xfrm>
                    <a:prstGeom prst="rect">
                      <a:avLst/>
                    </a:prstGeom>
                  </pic:spPr>
                </pic:pic>
              </a:graphicData>
            </a:graphic>
          </wp:inline>
        </w:drawing>
      </w:r>
      <w:r w:rsidR="005973B9">
        <w:rPr>
          <w:rFonts w:ascii="Arial"/>
          <w:b/>
          <w:color w:val="BF5A14"/>
          <w:sz w:val="20"/>
        </w:rPr>
        <w:br/>
        <w:t>Recent Publications</w:t>
      </w:r>
    </w:p>
    <w:p w14:paraId="6E64AE87" w14:textId="23DE059F" w:rsidR="00AF1E6F" w:rsidRPr="000900CC" w:rsidRDefault="00AF1E6F" w:rsidP="00AF1E6F">
      <w:pPr>
        <w:pStyle w:val="Paragrafoelenco"/>
        <w:numPr>
          <w:ilvl w:val="0"/>
          <w:numId w:val="3"/>
        </w:numPr>
        <w:tabs>
          <w:tab w:val="left" w:pos="384"/>
        </w:tabs>
        <w:spacing w:line="216" w:lineRule="exact"/>
        <w:ind w:right="137" w:hanging="283"/>
        <w:rPr>
          <w:sz w:val="18"/>
          <w:lang w:val="it-IT"/>
        </w:rPr>
      </w:pPr>
      <w:r w:rsidRPr="00AF1E6F">
        <w:rPr>
          <w:rFonts w:hint="eastAsia"/>
          <w:sz w:val="18"/>
          <w:lang w:val="it-IT"/>
        </w:rPr>
        <w:t xml:space="preserve">B </w:t>
      </w:r>
      <w:proofErr w:type="spellStart"/>
      <w:r w:rsidRPr="00AF1E6F">
        <w:rPr>
          <w:rFonts w:hint="eastAsia"/>
          <w:sz w:val="18"/>
          <w:lang w:val="it-IT"/>
        </w:rPr>
        <w:t>cell</w:t>
      </w:r>
      <w:proofErr w:type="spellEnd"/>
      <w:r w:rsidRPr="00AF1E6F">
        <w:rPr>
          <w:rFonts w:hint="eastAsia"/>
          <w:sz w:val="18"/>
          <w:lang w:val="it-IT"/>
        </w:rPr>
        <w:t xml:space="preserve"> therapy for </w:t>
      </w:r>
      <w:proofErr w:type="spellStart"/>
      <w:r w:rsidRPr="00AF1E6F">
        <w:rPr>
          <w:rFonts w:hint="eastAsia"/>
          <w:sz w:val="18"/>
          <w:lang w:val="it-IT"/>
        </w:rPr>
        <w:t>rheumatoid</w:t>
      </w:r>
      <w:proofErr w:type="spellEnd"/>
      <w:r w:rsidRPr="00AF1E6F">
        <w:rPr>
          <w:rFonts w:hint="eastAsia"/>
          <w:sz w:val="18"/>
          <w:lang w:val="it-IT"/>
        </w:rPr>
        <w:t xml:space="preserve"> </w:t>
      </w:r>
      <w:proofErr w:type="spellStart"/>
      <w:r w:rsidRPr="00AF1E6F">
        <w:rPr>
          <w:rFonts w:hint="eastAsia"/>
          <w:sz w:val="18"/>
          <w:lang w:val="it-IT"/>
        </w:rPr>
        <w:t>arthritis</w:t>
      </w:r>
      <w:proofErr w:type="spellEnd"/>
      <w:r w:rsidRPr="00AF1E6F">
        <w:rPr>
          <w:rFonts w:hint="eastAsia"/>
          <w:sz w:val="18"/>
          <w:lang w:val="it-IT"/>
        </w:rPr>
        <w:t xml:space="preserve">: the rituximab (anti-CD20) </w:t>
      </w:r>
      <w:proofErr w:type="spellStart"/>
      <w:r w:rsidRPr="00AF1E6F">
        <w:rPr>
          <w:rFonts w:hint="eastAsia"/>
          <w:sz w:val="18"/>
          <w:lang w:val="it-IT"/>
        </w:rPr>
        <w:t>experience</w:t>
      </w:r>
      <w:proofErr w:type="spellEnd"/>
      <w:r w:rsidRPr="00AF1E6F">
        <w:rPr>
          <w:rFonts w:hint="eastAsia"/>
          <w:sz w:val="18"/>
          <w:lang w:val="it-IT"/>
        </w:rPr>
        <w:t xml:space="preserve">. T Shaw et al. </w:t>
      </w:r>
      <w:r w:rsidRPr="00AF1E6F">
        <w:rPr>
          <w:rFonts w:hint="eastAsia"/>
          <w:i/>
          <w:iCs/>
          <w:sz w:val="18"/>
          <w:lang w:val="it-IT"/>
        </w:rPr>
        <w:t xml:space="preserve">Ann </w:t>
      </w:r>
      <w:proofErr w:type="spellStart"/>
      <w:r w:rsidRPr="00AF1E6F">
        <w:rPr>
          <w:rFonts w:hint="eastAsia"/>
          <w:i/>
          <w:iCs/>
          <w:sz w:val="18"/>
          <w:lang w:val="it-IT"/>
        </w:rPr>
        <w:t>Rheum</w:t>
      </w:r>
      <w:proofErr w:type="spellEnd"/>
      <w:r w:rsidRPr="00AF1E6F">
        <w:rPr>
          <w:rFonts w:hint="eastAsia"/>
          <w:i/>
          <w:iCs/>
          <w:sz w:val="18"/>
          <w:lang w:val="it-IT"/>
        </w:rPr>
        <w:t xml:space="preserve"> </w:t>
      </w:r>
      <w:proofErr w:type="spellStart"/>
      <w:r w:rsidRPr="00AF1E6F">
        <w:rPr>
          <w:rFonts w:hint="eastAsia"/>
          <w:i/>
          <w:iCs/>
          <w:sz w:val="18"/>
          <w:lang w:val="it-IT"/>
        </w:rPr>
        <w:t>Dis</w:t>
      </w:r>
      <w:proofErr w:type="spellEnd"/>
      <w:r w:rsidRPr="00AF1E6F">
        <w:rPr>
          <w:rFonts w:hint="eastAsia"/>
          <w:i/>
          <w:iCs/>
          <w:sz w:val="18"/>
          <w:lang w:val="it-IT"/>
        </w:rPr>
        <w:t xml:space="preserve"> 2003</w:t>
      </w:r>
    </w:p>
    <w:p w14:paraId="178A716B" w14:textId="14449E8E" w:rsidR="000900CC" w:rsidRPr="000900CC" w:rsidRDefault="000900CC" w:rsidP="000900CC">
      <w:pPr>
        <w:pStyle w:val="Paragrafoelenco"/>
        <w:numPr>
          <w:ilvl w:val="0"/>
          <w:numId w:val="3"/>
        </w:numPr>
        <w:tabs>
          <w:tab w:val="left" w:pos="384"/>
        </w:tabs>
        <w:spacing w:line="216" w:lineRule="exact"/>
        <w:ind w:right="137"/>
        <w:rPr>
          <w:sz w:val="18"/>
          <w:lang w:val="it-IT"/>
        </w:rPr>
      </w:pPr>
      <w:r w:rsidRPr="000900CC">
        <w:rPr>
          <w:sz w:val="18"/>
          <w:lang w:val="it-IT"/>
        </w:rPr>
        <w:t xml:space="preserve">Rituximab for </w:t>
      </w:r>
      <w:proofErr w:type="spellStart"/>
      <w:r w:rsidRPr="000900CC">
        <w:rPr>
          <w:sz w:val="18"/>
          <w:lang w:val="it-IT"/>
        </w:rPr>
        <w:t>Rheumatoid</w:t>
      </w:r>
      <w:proofErr w:type="spellEnd"/>
      <w:r w:rsidRPr="000900CC">
        <w:rPr>
          <w:sz w:val="18"/>
          <w:lang w:val="it-IT"/>
        </w:rPr>
        <w:t xml:space="preserve"> </w:t>
      </w:r>
      <w:proofErr w:type="spellStart"/>
      <w:r w:rsidRPr="000900CC">
        <w:rPr>
          <w:sz w:val="18"/>
          <w:lang w:val="it-IT"/>
        </w:rPr>
        <w:t>Arthritis</w:t>
      </w:r>
      <w:proofErr w:type="spellEnd"/>
      <w:r w:rsidRPr="000900CC">
        <w:rPr>
          <w:sz w:val="18"/>
          <w:lang w:val="it-IT"/>
        </w:rPr>
        <w:t xml:space="preserve"> </w:t>
      </w:r>
      <w:proofErr w:type="spellStart"/>
      <w:r w:rsidRPr="000900CC">
        <w:rPr>
          <w:sz w:val="18"/>
          <w:lang w:val="it-IT"/>
        </w:rPr>
        <w:t>Refractory</w:t>
      </w:r>
      <w:proofErr w:type="spellEnd"/>
      <w:r w:rsidRPr="000900CC">
        <w:rPr>
          <w:sz w:val="18"/>
          <w:lang w:val="it-IT"/>
        </w:rPr>
        <w:t xml:space="preserve"> to</w:t>
      </w:r>
      <w:r>
        <w:rPr>
          <w:sz w:val="18"/>
          <w:lang w:val="it-IT"/>
        </w:rPr>
        <w:t xml:space="preserve"> </w:t>
      </w:r>
      <w:r w:rsidRPr="000900CC">
        <w:rPr>
          <w:sz w:val="18"/>
          <w:lang w:val="it-IT"/>
        </w:rPr>
        <w:t>Anti–</w:t>
      </w:r>
      <w:proofErr w:type="spellStart"/>
      <w:r w:rsidRPr="000900CC">
        <w:rPr>
          <w:sz w:val="18"/>
          <w:lang w:val="it-IT"/>
        </w:rPr>
        <w:t>Tumor</w:t>
      </w:r>
      <w:proofErr w:type="spellEnd"/>
      <w:r w:rsidRPr="000900CC">
        <w:rPr>
          <w:sz w:val="18"/>
          <w:lang w:val="it-IT"/>
        </w:rPr>
        <w:t xml:space="preserve"> </w:t>
      </w:r>
      <w:proofErr w:type="spellStart"/>
      <w:r w:rsidRPr="000900CC">
        <w:rPr>
          <w:sz w:val="18"/>
          <w:lang w:val="it-IT"/>
        </w:rPr>
        <w:t>Necrosis</w:t>
      </w:r>
      <w:proofErr w:type="spellEnd"/>
      <w:r w:rsidRPr="000900CC">
        <w:rPr>
          <w:sz w:val="18"/>
          <w:lang w:val="it-IT"/>
        </w:rPr>
        <w:t xml:space="preserve"> </w:t>
      </w:r>
      <w:proofErr w:type="spellStart"/>
      <w:r w:rsidRPr="000900CC">
        <w:rPr>
          <w:sz w:val="18"/>
          <w:lang w:val="it-IT"/>
        </w:rPr>
        <w:t>Factor</w:t>
      </w:r>
      <w:proofErr w:type="spellEnd"/>
      <w:r w:rsidRPr="000900CC">
        <w:rPr>
          <w:sz w:val="18"/>
          <w:lang w:val="it-IT"/>
        </w:rPr>
        <w:t xml:space="preserve"> Therapy</w:t>
      </w:r>
      <w:r>
        <w:rPr>
          <w:sz w:val="18"/>
          <w:lang w:val="it-IT"/>
        </w:rPr>
        <w:t xml:space="preserve">. Cohen et al. </w:t>
      </w:r>
      <w:proofErr w:type="spellStart"/>
      <w:r>
        <w:rPr>
          <w:i/>
          <w:iCs/>
          <w:sz w:val="18"/>
          <w:lang w:val="it-IT"/>
        </w:rPr>
        <w:t>Artritis</w:t>
      </w:r>
      <w:proofErr w:type="spellEnd"/>
      <w:r>
        <w:rPr>
          <w:i/>
          <w:iCs/>
          <w:sz w:val="18"/>
          <w:lang w:val="it-IT"/>
        </w:rPr>
        <w:t xml:space="preserve"> and </w:t>
      </w:r>
      <w:proofErr w:type="spellStart"/>
      <w:r>
        <w:rPr>
          <w:i/>
          <w:iCs/>
          <w:sz w:val="18"/>
          <w:lang w:val="it-IT"/>
        </w:rPr>
        <w:t>Rheumatism</w:t>
      </w:r>
      <w:proofErr w:type="spellEnd"/>
      <w:r>
        <w:rPr>
          <w:i/>
          <w:iCs/>
          <w:sz w:val="18"/>
          <w:lang w:val="it-IT"/>
        </w:rPr>
        <w:t xml:space="preserve"> 2006</w:t>
      </w:r>
    </w:p>
    <w:p w14:paraId="77B00A5C" w14:textId="28873E0D" w:rsidR="000900CC" w:rsidRPr="000900CC" w:rsidRDefault="00AF1E6F" w:rsidP="000900CC">
      <w:pPr>
        <w:pStyle w:val="Paragrafoelenco"/>
        <w:widowControl/>
        <w:numPr>
          <w:ilvl w:val="0"/>
          <w:numId w:val="3"/>
        </w:numPr>
        <w:autoSpaceDE w:val="0"/>
        <w:autoSpaceDN w:val="0"/>
        <w:adjustRightInd w:val="0"/>
        <w:rPr>
          <w:sz w:val="18"/>
        </w:rPr>
      </w:pPr>
      <w:r w:rsidRPr="000900CC">
        <w:rPr>
          <w:sz w:val="18"/>
        </w:rPr>
        <w:t>Comparison of biosimilar CT-P10 and innovator rituximab in patients with</w:t>
      </w:r>
      <w:r w:rsidRPr="000900CC">
        <w:rPr>
          <w:sz w:val="18"/>
        </w:rPr>
        <w:t xml:space="preserve"> </w:t>
      </w:r>
      <w:r w:rsidRPr="000900CC">
        <w:rPr>
          <w:sz w:val="18"/>
        </w:rPr>
        <w:t>rheumatoid arthritis: a randomized controlled Phase 3 trial</w:t>
      </w:r>
      <w:r w:rsidR="000900CC" w:rsidRPr="000900CC">
        <w:rPr>
          <w:sz w:val="18"/>
        </w:rPr>
        <w:t xml:space="preserve">. Park et al. </w:t>
      </w:r>
      <w:r w:rsidR="000900CC" w:rsidRPr="000900CC">
        <w:rPr>
          <w:rFonts w:ascii="AdvOT5fcf1b24" w:eastAsiaTheme="minorHAnsi" w:hAnsi="AdvOT5fcf1b24" w:cs="AdvOT5fcf1b24"/>
          <w:i/>
          <w:iCs/>
          <w:sz w:val="15"/>
          <w:szCs w:val="15"/>
          <w:lang w:val="it-IT"/>
        </w:rPr>
        <w:t>MABS</w:t>
      </w:r>
      <w:r w:rsidR="000900CC" w:rsidRPr="000900CC">
        <w:rPr>
          <w:rFonts w:ascii="AdvOT5fcf1b24" w:eastAsiaTheme="minorHAnsi" w:hAnsi="AdvOT5fcf1b24" w:cs="AdvOT5fcf1b24"/>
          <w:i/>
          <w:iCs/>
          <w:sz w:val="15"/>
          <w:szCs w:val="15"/>
          <w:lang w:val="it-IT"/>
        </w:rPr>
        <w:t xml:space="preserve"> </w:t>
      </w:r>
      <w:r w:rsidR="000900CC" w:rsidRPr="000900CC">
        <w:rPr>
          <w:rFonts w:ascii="AdvOT5fcf1b24" w:eastAsiaTheme="minorHAnsi" w:hAnsi="AdvOT5fcf1b24" w:cs="AdvOT5fcf1b24"/>
          <w:i/>
          <w:iCs/>
          <w:sz w:val="15"/>
          <w:szCs w:val="15"/>
          <w:lang w:val="it-IT"/>
        </w:rPr>
        <w:t>2018, VOL. 10, NO. 6, 934</w:t>
      </w:r>
      <w:r w:rsidR="000900CC" w:rsidRPr="000900CC">
        <w:rPr>
          <w:rFonts w:ascii="AdvOT5fcf1b24+20" w:eastAsiaTheme="minorHAnsi" w:hAnsi="AdvOT5fcf1b24+20" w:cs="AdvOT5fcf1b24+20"/>
          <w:i/>
          <w:iCs/>
          <w:sz w:val="15"/>
          <w:szCs w:val="15"/>
          <w:lang w:val="it-IT"/>
        </w:rPr>
        <w:t>–</w:t>
      </w:r>
      <w:r w:rsidR="000900CC" w:rsidRPr="000900CC">
        <w:rPr>
          <w:rFonts w:ascii="AdvOT5fcf1b24" w:eastAsiaTheme="minorHAnsi" w:hAnsi="AdvOT5fcf1b24" w:cs="AdvOT5fcf1b24"/>
          <w:i/>
          <w:iCs/>
          <w:sz w:val="15"/>
          <w:szCs w:val="15"/>
          <w:lang w:val="it-IT"/>
        </w:rPr>
        <w:t>943</w:t>
      </w:r>
    </w:p>
    <w:p w14:paraId="67644572" w14:textId="4F8454FB" w:rsidR="000900CC" w:rsidRPr="000900CC" w:rsidRDefault="000900CC" w:rsidP="000900CC">
      <w:pPr>
        <w:pStyle w:val="Paragrafoelenco"/>
        <w:widowControl/>
        <w:numPr>
          <w:ilvl w:val="0"/>
          <w:numId w:val="3"/>
        </w:numPr>
        <w:autoSpaceDE w:val="0"/>
        <w:autoSpaceDN w:val="0"/>
        <w:adjustRightInd w:val="0"/>
        <w:rPr>
          <w:sz w:val="18"/>
        </w:rPr>
      </w:pPr>
      <w:r>
        <w:rPr>
          <w:sz w:val="18"/>
        </w:rPr>
        <w:t>E</w:t>
      </w:r>
      <w:r w:rsidRPr="000900CC">
        <w:rPr>
          <w:sz w:val="18"/>
        </w:rPr>
        <w:t>ffectiveness and safety of switch to</w:t>
      </w:r>
      <w:r>
        <w:rPr>
          <w:sz w:val="18"/>
        </w:rPr>
        <w:t xml:space="preserve"> </w:t>
      </w:r>
      <w:r w:rsidRPr="000900CC">
        <w:rPr>
          <w:sz w:val="18"/>
        </w:rPr>
        <w:t xml:space="preserve">rituximab biosimilar with rheumatoid arthritis. a single </w:t>
      </w:r>
      <w:proofErr w:type="spellStart"/>
      <w:r w:rsidRPr="000900CC">
        <w:rPr>
          <w:sz w:val="18"/>
        </w:rPr>
        <w:t>centre</w:t>
      </w:r>
      <w:proofErr w:type="spellEnd"/>
      <w:r w:rsidRPr="000900CC">
        <w:rPr>
          <w:sz w:val="18"/>
        </w:rPr>
        <w:t xml:space="preserve"> experience</w:t>
      </w:r>
      <w:r>
        <w:rPr>
          <w:sz w:val="18"/>
        </w:rPr>
        <w:t xml:space="preserve">. Saleem et al., </w:t>
      </w:r>
      <w:r>
        <w:rPr>
          <w:i/>
          <w:iCs/>
          <w:sz w:val="18"/>
        </w:rPr>
        <w:t>Rheumatology, May 2019</w:t>
      </w:r>
    </w:p>
    <w:p w14:paraId="5191A6FE" w14:textId="7B4E1C3F" w:rsidR="00AE3E37" w:rsidRPr="000900CC" w:rsidRDefault="000900CC" w:rsidP="000900CC">
      <w:pPr>
        <w:pStyle w:val="Paragrafoelenco"/>
        <w:widowControl/>
        <w:numPr>
          <w:ilvl w:val="0"/>
          <w:numId w:val="3"/>
        </w:numPr>
        <w:autoSpaceDE w:val="0"/>
        <w:autoSpaceDN w:val="0"/>
        <w:adjustRightInd w:val="0"/>
      </w:pPr>
      <w:r w:rsidRPr="000900CC">
        <w:rPr>
          <w:sz w:val="18"/>
        </w:rPr>
        <w:t>Efficacy and safety of switching from rituximab to</w:t>
      </w:r>
      <w:r>
        <w:rPr>
          <w:sz w:val="18"/>
        </w:rPr>
        <w:t xml:space="preserve"> </w:t>
      </w:r>
      <w:r w:rsidRPr="000900CC">
        <w:rPr>
          <w:sz w:val="18"/>
        </w:rPr>
        <w:t>biosimilar CT-P10 in rheumatoid arthritis: 72-week</w:t>
      </w:r>
      <w:r>
        <w:rPr>
          <w:sz w:val="18"/>
        </w:rPr>
        <w:t xml:space="preserve"> </w:t>
      </w:r>
      <w:r w:rsidRPr="000900CC">
        <w:rPr>
          <w:sz w:val="18"/>
        </w:rPr>
        <w:t>data from a randomized Phase 3 trial</w:t>
      </w:r>
      <w:r>
        <w:rPr>
          <w:sz w:val="18"/>
        </w:rPr>
        <w:t xml:space="preserve">. </w:t>
      </w:r>
      <w:r w:rsidRPr="000900CC">
        <w:rPr>
          <w:sz w:val="18"/>
        </w:rPr>
        <w:t>Seung Cheol Shim</w:t>
      </w:r>
      <w:r>
        <w:rPr>
          <w:sz w:val="18"/>
        </w:rPr>
        <w:t xml:space="preserve"> et al. </w:t>
      </w:r>
      <w:r w:rsidRPr="000900CC">
        <w:rPr>
          <w:i/>
          <w:iCs/>
          <w:sz w:val="18"/>
        </w:rPr>
        <w:t xml:space="preserve">Clinical Science </w:t>
      </w:r>
      <w:r>
        <w:rPr>
          <w:i/>
          <w:iCs/>
          <w:sz w:val="18"/>
        </w:rPr>
        <w:t xml:space="preserve">June </w:t>
      </w:r>
      <w:r w:rsidRPr="000900CC">
        <w:rPr>
          <w:i/>
          <w:iCs/>
          <w:sz w:val="18"/>
        </w:rPr>
        <w:t>201</w:t>
      </w:r>
      <w:r>
        <w:rPr>
          <w:i/>
          <w:iCs/>
          <w:sz w:val="18"/>
        </w:rPr>
        <w:t>9</w:t>
      </w:r>
    </w:p>
    <w:p w14:paraId="7E9E8EED" w14:textId="134A6812" w:rsidR="000900CC" w:rsidRPr="000900CC" w:rsidRDefault="000900CC" w:rsidP="000900CC">
      <w:pPr>
        <w:widowControl/>
        <w:autoSpaceDE w:val="0"/>
        <w:autoSpaceDN w:val="0"/>
        <w:adjustRightInd w:val="0"/>
        <w:rPr>
          <w:rFonts w:ascii="AdvP47D4A3" w:eastAsiaTheme="minorHAnsi" w:hAnsi="AdvP47D4A3" w:cs="AdvP47D4A3"/>
          <w:sz w:val="14"/>
          <w:szCs w:val="14"/>
          <w:lang w:val="it-IT"/>
        </w:rPr>
      </w:pPr>
    </w:p>
    <w:p w14:paraId="5BC041B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B05F6A6"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057BDCCD" wp14:editId="7BD2600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9AB57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ED41633" w14:textId="4BAE5D2B" w:rsidR="00AE3E37" w:rsidRDefault="008756E6" w:rsidP="00404E5B">
      <w:pPr>
        <w:spacing w:before="92"/>
        <w:ind w:right="4234"/>
        <w:rPr>
          <w:rFonts w:ascii="Arial"/>
        </w:rPr>
      </w:pPr>
      <w:r>
        <w:rPr>
          <w:noProof/>
        </w:rPr>
        <w:t xml:space="preserve">              </w:t>
      </w:r>
      <w:r w:rsidR="00BB0D22">
        <w:rPr>
          <w:noProof/>
        </w:rPr>
        <w:drawing>
          <wp:inline distT="0" distB="0" distL="0" distR="0" wp14:anchorId="773CCD13" wp14:editId="180324FB">
            <wp:extent cx="539603" cy="719455"/>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5374" cy="72715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9645879" w14:textId="7206DCC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BB0D22">
        <w:rPr>
          <w:rFonts w:ascii="Arial"/>
          <w:sz w:val="14"/>
        </w:rPr>
        <w:t xml:space="preserve">Daniela Renna graduated in December 2016 in Medicine and Surgery </w:t>
      </w:r>
      <w:r w:rsidR="00AF1E6F">
        <w:rPr>
          <w:rFonts w:ascii="Arial"/>
          <w:i/>
          <w:iCs/>
          <w:sz w:val="14"/>
        </w:rPr>
        <w:t>magna cum laude</w:t>
      </w:r>
      <w:r w:rsidR="00BB0D22">
        <w:rPr>
          <w:rFonts w:ascii="Arial"/>
          <w:sz w:val="14"/>
        </w:rPr>
        <w:t xml:space="preserve"> at the University of Bari. She is a Rheumatology resident in Bari University, currently working at the </w:t>
      </w:r>
      <w:proofErr w:type="spellStart"/>
      <w:r w:rsidR="00BB0D22">
        <w:rPr>
          <w:rFonts w:ascii="Arial"/>
          <w:sz w:val="14"/>
        </w:rPr>
        <w:t>Rhematology</w:t>
      </w:r>
      <w:proofErr w:type="spellEnd"/>
      <w:r w:rsidR="00BB0D22">
        <w:rPr>
          <w:rFonts w:ascii="Arial"/>
          <w:sz w:val="14"/>
        </w:rPr>
        <w:t xml:space="preserve"> Unit of Bari</w:t>
      </w:r>
      <w:r w:rsidR="00BB0D22">
        <w:rPr>
          <w:rFonts w:ascii="Arial"/>
          <w:sz w:val="14"/>
        </w:rPr>
        <w:t>’</w:t>
      </w:r>
      <w:r w:rsidR="00BB0D22">
        <w:rPr>
          <w:rFonts w:ascii="Arial"/>
          <w:sz w:val="14"/>
        </w:rPr>
        <w:t xml:space="preserve">s </w:t>
      </w:r>
      <w:proofErr w:type="spellStart"/>
      <w:r w:rsidR="00BB0D22">
        <w:rPr>
          <w:rFonts w:ascii="Arial"/>
          <w:sz w:val="14"/>
        </w:rPr>
        <w:t>Policlinico</w:t>
      </w:r>
      <w:proofErr w:type="spellEnd"/>
      <w:r w:rsidR="00BB0D22">
        <w:rPr>
          <w:rFonts w:ascii="Arial"/>
          <w:sz w:val="14"/>
        </w:rPr>
        <w:t>. She spent her first year of residency at the Rheumatology ward; she</w:t>
      </w:r>
      <w:r w:rsidR="00BB0D22">
        <w:rPr>
          <w:rFonts w:ascii="Arial"/>
          <w:sz w:val="14"/>
        </w:rPr>
        <w:t>’</w:t>
      </w:r>
      <w:r w:rsidR="00BB0D22">
        <w:rPr>
          <w:rFonts w:ascii="Arial"/>
          <w:sz w:val="14"/>
        </w:rPr>
        <w:t xml:space="preserve">s currently attending her second year of residency at the outpatient clinic </w:t>
      </w:r>
      <w:r w:rsidR="00AF1E6F">
        <w:rPr>
          <w:rFonts w:ascii="Arial"/>
          <w:sz w:val="14"/>
        </w:rPr>
        <w:t>“</w:t>
      </w:r>
      <w:r w:rsidR="00AF1E6F">
        <w:rPr>
          <w:rFonts w:ascii="Arial"/>
          <w:sz w:val="14"/>
        </w:rPr>
        <w:t>pre-</w:t>
      </w:r>
      <w:proofErr w:type="spellStart"/>
      <w:r w:rsidR="00AF1E6F">
        <w:rPr>
          <w:rFonts w:ascii="Arial"/>
          <w:sz w:val="14"/>
        </w:rPr>
        <w:t>infusional</w:t>
      </w:r>
      <w:proofErr w:type="spellEnd"/>
      <w:r w:rsidR="00AF1E6F">
        <w:rPr>
          <w:rFonts w:ascii="Arial"/>
          <w:sz w:val="14"/>
        </w:rPr>
        <w:t xml:space="preserve"> visits</w:t>
      </w:r>
      <w:r w:rsidR="00AF1E6F">
        <w:rPr>
          <w:rFonts w:ascii="Arial"/>
          <w:sz w:val="14"/>
        </w:rPr>
        <w:t>”</w:t>
      </w:r>
      <w:r w:rsidR="00AF1E6F">
        <w:rPr>
          <w:rFonts w:ascii="Arial"/>
          <w:sz w:val="14"/>
        </w:rPr>
        <w:t xml:space="preserve">; she manages follow-up visits of patients with RA, </w:t>
      </w:r>
      <w:proofErr w:type="spellStart"/>
      <w:r w:rsidR="00AF1E6F">
        <w:rPr>
          <w:rFonts w:ascii="Arial"/>
          <w:sz w:val="14"/>
        </w:rPr>
        <w:t>SpA</w:t>
      </w:r>
      <w:proofErr w:type="spellEnd"/>
      <w:r w:rsidR="00AF1E6F">
        <w:rPr>
          <w:rFonts w:ascii="Arial"/>
          <w:sz w:val="14"/>
        </w:rPr>
        <w:t xml:space="preserve"> and other rheumatic diseases in treatment with </w:t>
      </w:r>
      <w:proofErr w:type="spellStart"/>
      <w:r w:rsidR="00AF1E6F">
        <w:rPr>
          <w:rFonts w:ascii="Arial"/>
          <w:sz w:val="14"/>
        </w:rPr>
        <w:t>i.v.</w:t>
      </w:r>
      <w:proofErr w:type="spellEnd"/>
      <w:r w:rsidR="00AF1E6F">
        <w:rPr>
          <w:rFonts w:ascii="Arial"/>
          <w:sz w:val="14"/>
        </w:rPr>
        <w:t xml:space="preserve"> biological therapies (Tocilizumab, Abatacept, Infliximab, Rituximab). </w:t>
      </w:r>
    </w:p>
    <w:p w14:paraId="19A311C5" w14:textId="386BFB31" w:rsidR="00AE3E37" w:rsidRDefault="00A9710C">
      <w:pPr>
        <w:spacing w:before="62"/>
        <w:ind w:left="4217" w:right="4235"/>
        <w:jc w:val="center"/>
        <w:rPr>
          <w:rFonts w:ascii="Arial"/>
          <w:sz w:val="14"/>
        </w:rPr>
      </w:pPr>
      <w:r>
        <w:rPr>
          <w:rFonts w:ascii="Arial"/>
          <w:sz w:val="14"/>
        </w:rPr>
        <w:t xml:space="preserve">Email: </w:t>
      </w:r>
      <w:r w:rsidR="00AF1E6F">
        <w:rPr>
          <w:rFonts w:ascii="Arial"/>
          <w:sz w:val="14"/>
        </w:rPr>
        <w:t>daniela.renna.91@gmail.com</w:t>
      </w:r>
    </w:p>
    <w:p w14:paraId="7C91401E" w14:textId="58CADEFC" w:rsidR="00AE3E37" w:rsidRPr="00F479B1" w:rsidRDefault="00292ED9" w:rsidP="00F479B1">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B7F60FC" wp14:editId="40B890B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9331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bookmarkStart w:id="0" w:name="_GoBack"/>
      <w:bookmarkEnd w:id="0"/>
    </w:p>
    <w:p w14:paraId="6B55BAAD" w14:textId="77777777" w:rsidR="00AE3E37" w:rsidRPr="00B21A57" w:rsidRDefault="00A9710C">
      <w:pPr>
        <w:spacing w:before="39"/>
        <w:ind w:left="100"/>
        <w:rPr>
          <w:rFonts w:ascii="Minion Pro"/>
          <w:b/>
          <w:sz w:val="20"/>
        </w:rPr>
      </w:pPr>
      <w:r w:rsidRPr="00B21A57">
        <w:rPr>
          <w:rFonts w:ascii="Minion Pro"/>
          <w:b/>
          <w:sz w:val="20"/>
        </w:rPr>
        <w:t>Notes/Comments:</w:t>
      </w:r>
    </w:p>
    <w:p w14:paraId="52E781B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66962D1"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33976" w14:textId="77777777" w:rsidR="0011713F" w:rsidRDefault="0011713F">
      <w:r>
        <w:separator/>
      </w:r>
    </w:p>
  </w:endnote>
  <w:endnote w:type="continuationSeparator" w:id="0">
    <w:p w14:paraId="66243781" w14:textId="77777777" w:rsidR="0011713F" w:rsidRDefault="0011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5fcf1b24">
    <w:altName w:val="Calibri"/>
    <w:panose1 w:val="00000000000000000000"/>
    <w:charset w:val="00"/>
    <w:family w:val="swiss"/>
    <w:notTrueType/>
    <w:pitch w:val="default"/>
    <w:sig w:usb0="00000003" w:usb1="00000000" w:usb2="00000000" w:usb3="00000000" w:csb0="00000001" w:csb1="00000000"/>
  </w:font>
  <w:font w:name="AdvOT5fcf1b24+20">
    <w:altName w:val="Calibri"/>
    <w:panose1 w:val="00000000000000000000"/>
    <w:charset w:val="00"/>
    <w:family w:val="swiss"/>
    <w:notTrueType/>
    <w:pitch w:val="default"/>
    <w:sig w:usb0="00000003" w:usb1="00000000" w:usb2="00000000" w:usb3="00000000" w:csb0="00000001" w:csb1="00000000"/>
  </w:font>
  <w:font w:name="AdvP47D4A3">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4A92D"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7201A91" wp14:editId="35A808F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F1AB5" w14:textId="77777777" w:rsidR="00AE3E37" w:rsidRPr="00BB0D22" w:rsidRDefault="00A9710C">
                          <w:pPr>
                            <w:spacing w:line="184" w:lineRule="exact"/>
                            <w:ind w:left="20" w:right="-12"/>
                            <w:rPr>
                              <w:rFonts w:ascii="Arial"/>
                              <w:color w:val="FFFFFF"/>
                              <w:sz w:val="16"/>
                            </w:rPr>
                          </w:pPr>
                          <w:r w:rsidRPr="00BB0D22">
                            <w:rPr>
                              <w:rFonts w:ascii="Arial"/>
                              <w:color w:val="FFFFFF"/>
                              <w:sz w:val="16"/>
                            </w:rPr>
                            <w:t>J Pain Relief</w:t>
                          </w:r>
                        </w:p>
                        <w:p w14:paraId="2FB05305" w14:textId="77777777" w:rsidR="00AE3E37" w:rsidRPr="00BB0D22" w:rsidRDefault="00A9710C">
                          <w:pPr>
                            <w:spacing w:before="8"/>
                            <w:ind w:left="20" w:right="-12"/>
                            <w:rPr>
                              <w:rFonts w:ascii="Arial"/>
                              <w:color w:val="FFFFFF"/>
                              <w:sz w:val="16"/>
                            </w:rPr>
                          </w:pPr>
                          <w:r w:rsidRPr="00BB0D22">
                            <w:rPr>
                              <w:rFonts w:ascii="Arial"/>
                              <w:color w:val="FFFFFF"/>
                              <w:sz w:val="16"/>
                            </w:rPr>
                            <w:t xml:space="preserve">ISSN: 2167-0846 JPAR an open access </w:t>
                          </w:r>
                          <w:proofErr w:type="spellStart"/>
                          <w:r w:rsidRPr="00BB0D22">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01A9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2FF1AB5" w14:textId="77777777" w:rsidR="00AE3E37" w:rsidRPr="00BB0D22" w:rsidRDefault="00A9710C">
                    <w:pPr>
                      <w:spacing w:line="184" w:lineRule="exact"/>
                      <w:ind w:left="20" w:right="-12"/>
                      <w:rPr>
                        <w:rFonts w:ascii="Arial"/>
                        <w:color w:val="FFFFFF"/>
                        <w:sz w:val="16"/>
                      </w:rPr>
                    </w:pPr>
                    <w:r w:rsidRPr="00BB0D22">
                      <w:rPr>
                        <w:rFonts w:ascii="Arial"/>
                        <w:color w:val="FFFFFF"/>
                        <w:sz w:val="16"/>
                      </w:rPr>
                      <w:t>J Pain Relief</w:t>
                    </w:r>
                  </w:p>
                  <w:p w14:paraId="2FB05305" w14:textId="77777777" w:rsidR="00AE3E37" w:rsidRPr="00BB0D22" w:rsidRDefault="00A9710C">
                    <w:pPr>
                      <w:spacing w:before="8"/>
                      <w:ind w:left="20" w:right="-12"/>
                      <w:rPr>
                        <w:rFonts w:ascii="Arial"/>
                        <w:color w:val="FFFFFF"/>
                        <w:sz w:val="16"/>
                      </w:rPr>
                    </w:pPr>
                    <w:r w:rsidRPr="00BB0D22">
                      <w:rPr>
                        <w:rFonts w:ascii="Arial"/>
                        <w:color w:val="FFFFFF"/>
                        <w:sz w:val="16"/>
                      </w:rPr>
                      <w:t xml:space="preserve">ISSN: 2167-0846 JPAR an open access </w:t>
                    </w:r>
                    <w:proofErr w:type="spellStart"/>
                    <w:r w:rsidRPr="00BB0D22">
                      <w:rPr>
                        <w:rFonts w:ascii="Arial"/>
                        <w:color w:val="FFFFFF"/>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6DB0FF" wp14:editId="2D2BED5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89314" w14:textId="77777777" w:rsidR="00AE3E37" w:rsidRPr="00BB0D22" w:rsidRDefault="00A9710C">
                          <w:pPr>
                            <w:spacing w:line="269" w:lineRule="exact"/>
                            <w:jc w:val="center"/>
                            <w:rPr>
                              <w:rFonts w:ascii="Impact"/>
                              <w:color w:val="FFFFFF"/>
                              <w:sz w:val="24"/>
                            </w:rPr>
                          </w:pPr>
                          <w:r w:rsidRPr="00BB0D22">
                            <w:rPr>
                              <w:rFonts w:ascii="Impact"/>
                              <w:color w:val="FFFFFF"/>
                              <w:sz w:val="24"/>
                            </w:rPr>
                            <w:t>Fibromyalgia 2016</w:t>
                          </w:r>
                        </w:p>
                        <w:p w14:paraId="2D2F5310" w14:textId="77777777" w:rsidR="00AE3E37" w:rsidRPr="00BB0D22" w:rsidRDefault="00A9710C">
                          <w:pPr>
                            <w:spacing w:before="29"/>
                            <w:jc w:val="center"/>
                            <w:rPr>
                              <w:rFonts w:ascii="Arial"/>
                              <w:color w:val="FFFFFF"/>
                              <w:sz w:val="16"/>
                            </w:rPr>
                          </w:pPr>
                          <w:r w:rsidRPr="00BB0D22">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DB0F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AF89314" w14:textId="77777777" w:rsidR="00AE3E37" w:rsidRPr="00BB0D22" w:rsidRDefault="00A9710C">
                    <w:pPr>
                      <w:spacing w:line="269" w:lineRule="exact"/>
                      <w:jc w:val="center"/>
                      <w:rPr>
                        <w:rFonts w:ascii="Impact"/>
                        <w:color w:val="FFFFFF"/>
                        <w:sz w:val="24"/>
                      </w:rPr>
                    </w:pPr>
                    <w:r w:rsidRPr="00BB0D22">
                      <w:rPr>
                        <w:rFonts w:ascii="Impact"/>
                        <w:color w:val="FFFFFF"/>
                        <w:sz w:val="24"/>
                      </w:rPr>
                      <w:t>Fibromyalgia 2016</w:t>
                    </w:r>
                  </w:p>
                  <w:p w14:paraId="2D2F5310" w14:textId="77777777" w:rsidR="00AE3E37" w:rsidRPr="00BB0D22" w:rsidRDefault="00A9710C">
                    <w:pPr>
                      <w:spacing w:before="29"/>
                      <w:jc w:val="center"/>
                      <w:rPr>
                        <w:rFonts w:ascii="Arial"/>
                        <w:color w:val="FFFFFF"/>
                        <w:sz w:val="16"/>
                      </w:rPr>
                    </w:pPr>
                    <w:r w:rsidRPr="00BB0D22">
                      <w:rPr>
                        <w:rFonts w:ascii="Arial"/>
                        <w:color w:val="FFFFFF"/>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93E1AF9" wp14:editId="2E9D84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D776A" w14:textId="77777777" w:rsidR="00AE3E37" w:rsidRPr="00BB0D22" w:rsidRDefault="00A9710C">
                          <w:pPr>
                            <w:spacing w:line="184" w:lineRule="exact"/>
                            <w:ind w:right="18"/>
                            <w:jc w:val="right"/>
                            <w:rPr>
                              <w:rFonts w:ascii="Arial"/>
                              <w:color w:val="FFFFFF"/>
                              <w:sz w:val="16"/>
                            </w:rPr>
                          </w:pPr>
                          <w:r w:rsidRPr="00BB0D22">
                            <w:rPr>
                              <w:rFonts w:ascii="Arial"/>
                              <w:color w:val="FFFFFF"/>
                              <w:sz w:val="16"/>
                            </w:rPr>
                            <w:t>Volume 5, Issue 3(Suppl)</w:t>
                          </w:r>
                        </w:p>
                        <w:p w14:paraId="7EDAD76D" w14:textId="77777777" w:rsidR="00AE3E37" w:rsidRPr="00BB0D22" w:rsidRDefault="00A9710C">
                          <w:pPr>
                            <w:spacing w:before="116"/>
                            <w:ind w:right="18"/>
                            <w:jc w:val="right"/>
                            <w:rPr>
                              <w:rFonts w:ascii="Minion Pro"/>
                              <w:color w:val="FFFFFF"/>
                              <w:sz w:val="16"/>
                            </w:rPr>
                          </w:pPr>
                          <w:r w:rsidRPr="00BB0D22">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E1AF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8FD776A" w14:textId="77777777" w:rsidR="00AE3E37" w:rsidRPr="00BB0D22" w:rsidRDefault="00A9710C">
                    <w:pPr>
                      <w:spacing w:line="184" w:lineRule="exact"/>
                      <w:ind w:right="18"/>
                      <w:jc w:val="right"/>
                      <w:rPr>
                        <w:rFonts w:ascii="Arial"/>
                        <w:color w:val="FFFFFF"/>
                        <w:sz w:val="16"/>
                      </w:rPr>
                    </w:pPr>
                    <w:r w:rsidRPr="00BB0D22">
                      <w:rPr>
                        <w:rFonts w:ascii="Arial"/>
                        <w:color w:val="FFFFFF"/>
                        <w:sz w:val="16"/>
                      </w:rPr>
                      <w:t>Volume 5, Issue 3(Suppl)</w:t>
                    </w:r>
                  </w:p>
                  <w:p w14:paraId="7EDAD76D" w14:textId="77777777" w:rsidR="00AE3E37" w:rsidRPr="00BB0D22" w:rsidRDefault="00A9710C">
                    <w:pPr>
                      <w:spacing w:before="116"/>
                      <w:ind w:right="18"/>
                      <w:jc w:val="right"/>
                      <w:rPr>
                        <w:rFonts w:ascii="Minion Pro"/>
                        <w:color w:val="FFFFFF"/>
                        <w:sz w:val="16"/>
                      </w:rPr>
                    </w:pPr>
                    <w:r w:rsidRPr="00BB0D22">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AFA0D" w14:textId="77777777" w:rsidR="0011713F" w:rsidRDefault="0011713F">
      <w:r>
        <w:separator/>
      </w:r>
    </w:p>
  </w:footnote>
  <w:footnote w:type="continuationSeparator" w:id="0">
    <w:p w14:paraId="33BBB431" w14:textId="77777777" w:rsidR="0011713F" w:rsidRDefault="00117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7EE7B"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19D8C2E" wp14:editId="64177D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2AA46" w14:textId="77777777" w:rsidR="00AE3E37" w:rsidRPr="00BB0D22" w:rsidRDefault="00A9710C">
                          <w:pPr>
                            <w:spacing w:before="2" w:line="249" w:lineRule="auto"/>
                            <w:ind w:left="156" w:right="18" w:hanging="137"/>
                            <w:rPr>
                              <w:rFonts w:ascii="Arial"/>
                              <w:color w:val="FFFFFF"/>
                              <w:sz w:val="14"/>
                            </w:rPr>
                          </w:pPr>
                          <w:r w:rsidRPr="00BB0D22">
                            <w:rPr>
                              <w:rFonts w:ascii="Arial"/>
                              <w:color w:val="FFFFFF"/>
                              <w:sz w:val="14"/>
                            </w:rPr>
                            <w:t xml:space="preserve">T </w:t>
                          </w:r>
                          <w:proofErr w:type="spellStart"/>
                          <w:r w:rsidRPr="00BB0D22">
                            <w:rPr>
                              <w:rFonts w:ascii="Arial"/>
                              <w:color w:val="FFFFFF"/>
                              <w:sz w:val="14"/>
                            </w:rPr>
                            <w:t>Furuta</w:t>
                          </w:r>
                          <w:proofErr w:type="spellEnd"/>
                          <w:r w:rsidRPr="00BB0D22">
                            <w:rPr>
                              <w:rFonts w:ascii="Arial"/>
                              <w:color w:val="FFFFFF"/>
                              <w:sz w:val="14"/>
                            </w:rPr>
                            <w:t xml:space="preserve"> et al., J Pai n Relief 2016, 5:3(Suppl) </w:t>
                          </w:r>
                          <w:hyperlink r:id="rId1">
                            <w:r w:rsidRPr="00BB0D22">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9D8C2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BF2AA46" w14:textId="77777777" w:rsidR="00AE3E37" w:rsidRPr="00BB0D22" w:rsidRDefault="00A9710C">
                    <w:pPr>
                      <w:spacing w:before="2" w:line="249" w:lineRule="auto"/>
                      <w:ind w:left="156" w:right="18" w:hanging="137"/>
                      <w:rPr>
                        <w:rFonts w:ascii="Arial"/>
                        <w:color w:val="FFFFFF"/>
                        <w:sz w:val="14"/>
                      </w:rPr>
                    </w:pPr>
                    <w:r w:rsidRPr="00BB0D22">
                      <w:rPr>
                        <w:rFonts w:ascii="Arial"/>
                        <w:color w:val="FFFFFF"/>
                        <w:sz w:val="14"/>
                      </w:rPr>
                      <w:t xml:space="preserve">T </w:t>
                    </w:r>
                    <w:proofErr w:type="spellStart"/>
                    <w:r w:rsidRPr="00BB0D22">
                      <w:rPr>
                        <w:rFonts w:ascii="Arial"/>
                        <w:color w:val="FFFFFF"/>
                        <w:sz w:val="14"/>
                      </w:rPr>
                      <w:t>Furuta</w:t>
                    </w:r>
                    <w:proofErr w:type="spellEnd"/>
                    <w:r w:rsidRPr="00BB0D22">
                      <w:rPr>
                        <w:rFonts w:ascii="Arial"/>
                        <w:color w:val="FFFFFF"/>
                        <w:sz w:val="14"/>
                      </w:rPr>
                      <w:t xml:space="preserve"> et al., J Pai n Relief 2016, 5:3(Suppl) </w:t>
                    </w:r>
                    <w:hyperlink r:id="rId2">
                      <w:r w:rsidRPr="00BB0D22">
                        <w:rPr>
                          <w:rFonts w:ascii="Arial"/>
                          <w:color w:val="FFFFFF"/>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441168E" wp14:editId="000B289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158CF" w14:textId="77777777" w:rsidR="00AE3E37" w:rsidRPr="00BB0D22" w:rsidRDefault="00A9710C">
                          <w:pPr>
                            <w:pStyle w:val="Corpotesto"/>
                            <w:spacing w:line="187" w:lineRule="exact"/>
                            <w:ind w:left="20" w:right="-10"/>
                            <w:rPr>
                              <w:rFonts w:ascii="Myriad Pro"/>
                              <w:color w:val="FFFFFF"/>
                            </w:rPr>
                          </w:pPr>
                          <w:r w:rsidRPr="00BB0D22">
                            <w:rPr>
                              <w:rFonts w:ascii="Myriad Pro"/>
                              <w:color w:val="FFFFFF"/>
                            </w:rPr>
                            <w:t>International Conference on</w:t>
                          </w:r>
                        </w:p>
                        <w:p w14:paraId="3338CCC6" w14:textId="77777777" w:rsidR="00AE3E37" w:rsidRPr="00BB0D22" w:rsidRDefault="00A9710C">
                          <w:pPr>
                            <w:spacing w:line="614" w:lineRule="exact"/>
                            <w:ind w:left="20" w:right="-10"/>
                            <w:rPr>
                              <w:rFonts w:ascii="Minion Pro"/>
                              <w:color w:val="FFFFFF"/>
                              <w:sz w:val="24"/>
                            </w:rPr>
                          </w:pPr>
                          <w:r w:rsidRPr="00BB0D22">
                            <w:rPr>
                              <w:rFonts w:ascii="Impact"/>
                              <w:color w:val="FFFFFF"/>
                              <w:sz w:val="52"/>
                            </w:rPr>
                            <w:t xml:space="preserve">Fibromyalgia and Chronic Pain </w:t>
                          </w:r>
                          <w:r w:rsidRPr="00BB0D22">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1168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E8158CF" w14:textId="77777777" w:rsidR="00AE3E37" w:rsidRPr="00BB0D22" w:rsidRDefault="00A9710C">
                    <w:pPr>
                      <w:pStyle w:val="Corpotesto"/>
                      <w:spacing w:line="187" w:lineRule="exact"/>
                      <w:ind w:left="20" w:right="-10"/>
                      <w:rPr>
                        <w:rFonts w:ascii="Myriad Pro"/>
                        <w:color w:val="FFFFFF"/>
                      </w:rPr>
                    </w:pPr>
                    <w:r w:rsidRPr="00BB0D22">
                      <w:rPr>
                        <w:rFonts w:ascii="Myriad Pro"/>
                        <w:color w:val="FFFFFF"/>
                      </w:rPr>
                      <w:t>International Conference on</w:t>
                    </w:r>
                  </w:p>
                  <w:p w14:paraId="3338CCC6" w14:textId="77777777" w:rsidR="00AE3E37" w:rsidRPr="00BB0D22" w:rsidRDefault="00A9710C">
                    <w:pPr>
                      <w:spacing w:line="614" w:lineRule="exact"/>
                      <w:ind w:left="20" w:right="-10"/>
                      <w:rPr>
                        <w:rFonts w:ascii="Minion Pro"/>
                        <w:color w:val="FFFFFF"/>
                        <w:sz w:val="24"/>
                      </w:rPr>
                    </w:pPr>
                    <w:r w:rsidRPr="00BB0D22">
                      <w:rPr>
                        <w:rFonts w:ascii="Impact"/>
                        <w:color w:val="FFFFFF"/>
                        <w:sz w:val="52"/>
                      </w:rPr>
                      <w:t xml:space="preserve">Fibromyalgia and Chronic Pain </w:t>
                    </w:r>
                    <w:r w:rsidRPr="00BB0D22">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F834692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27F49F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05D2082"/>
    <w:multiLevelType w:val="hybridMultilevel"/>
    <w:tmpl w:val="F834692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00CC"/>
    <w:rsid w:val="000E2911"/>
    <w:rsid w:val="0011713F"/>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AF1E6F"/>
    <w:rsid w:val="00B21A57"/>
    <w:rsid w:val="00BB0D22"/>
    <w:rsid w:val="00C33602"/>
    <w:rsid w:val="00CD6F55"/>
    <w:rsid w:val="00D62425"/>
    <w:rsid w:val="00DE3104"/>
    <w:rsid w:val="00F479B1"/>
    <w:rsid w:val="00F64C2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6AA2B"/>
  <w15:docId w15:val="{BD240E82-834C-41DD-A647-421CA3D8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552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544</Words>
  <Characters>3103</Characters>
  <Application>Microsoft Office Word</Application>
  <DocSecurity>0</DocSecurity>
  <Lines>25</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Daniela R</cp:lastModifiedBy>
  <cp:revision>3</cp:revision>
  <dcterms:created xsi:type="dcterms:W3CDTF">2019-08-21T15:21:00Z</dcterms:created>
  <dcterms:modified xsi:type="dcterms:W3CDTF">2019-08-21T15:21:00Z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