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F9D" w:rsidRDefault="00B47F9D" w:rsidP="00B47F9D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Evaluation of Bone Mineral Density and Vitamin D Deficiency in Patient with Systemic Lupus Erythematosus and Their Relation to Disease Activity</w:t>
      </w:r>
    </w:p>
    <w:p w:rsidR="00B47F9D" w:rsidRDefault="00B47F9D" w:rsidP="00B47F9D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Essam A M</w:t>
      </w:r>
      <w:r w:rsidRPr="00552B57">
        <w:rPr>
          <w:rFonts w:asciiTheme="majorBidi" w:hAnsiTheme="majorBidi" w:cstheme="majorBidi"/>
          <w:sz w:val="24"/>
          <w:szCs w:val="24"/>
        </w:rPr>
        <w:t xml:space="preserve"> Abda</w:t>
      </w:r>
      <w:r>
        <w:rPr>
          <w:rFonts w:asciiTheme="majorBidi" w:hAnsiTheme="majorBidi" w:cstheme="majorBidi"/>
          <w:sz w:val="24"/>
          <w:szCs w:val="24"/>
        </w:rPr>
        <w:t>¹, Samar H</w:t>
      </w:r>
      <w:r w:rsidRPr="00552B57">
        <w:rPr>
          <w:rFonts w:asciiTheme="majorBidi" w:hAnsiTheme="majorBidi" w:cstheme="majorBidi"/>
          <w:sz w:val="24"/>
          <w:szCs w:val="24"/>
        </w:rPr>
        <w:t xml:space="preserve"> Goma</w:t>
      </w:r>
      <w:r>
        <w:rPr>
          <w:rFonts w:asciiTheme="majorBidi" w:hAnsiTheme="majorBidi" w:cstheme="majorBidi"/>
          <w:sz w:val="24"/>
          <w:szCs w:val="24"/>
        </w:rPr>
        <w:t>¹</w:t>
      </w:r>
      <w:r w:rsidRPr="00552B57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52B57">
        <w:rPr>
          <w:rFonts w:asciiTheme="majorBidi" w:hAnsiTheme="majorBidi" w:cstheme="majorBidi"/>
          <w:sz w:val="24"/>
          <w:szCs w:val="24"/>
          <w:lang w:bidi="ar-EG"/>
        </w:rPr>
        <w:t>Mohamed Esmail</w:t>
      </w:r>
      <w:r>
        <w:rPr>
          <w:rFonts w:asciiTheme="majorBidi" w:hAnsiTheme="majorBidi" w:cstheme="majorBidi"/>
          <w:sz w:val="24"/>
          <w:szCs w:val="24"/>
          <w:lang w:bidi="ar-EG"/>
        </w:rPr>
        <w:t>²,</w:t>
      </w:r>
      <w:r w:rsidRPr="00552B5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Mohamed Z Abd elrhman³, Nadia M</w:t>
      </w:r>
      <w:r w:rsidRPr="00552B57">
        <w:rPr>
          <w:rFonts w:asciiTheme="majorBidi" w:hAnsiTheme="majorBidi" w:cstheme="majorBidi"/>
          <w:sz w:val="24"/>
          <w:szCs w:val="24"/>
        </w:rPr>
        <w:t xml:space="preserve"> Ismail</w:t>
      </w:r>
      <w:r>
        <w:rPr>
          <w:rFonts w:asciiTheme="majorBidi" w:hAnsiTheme="majorBidi" w:cstheme="majorBidi"/>
          <w:sz w:val="24"/>
          <w:szCs w:val="24"/>
        </w:rPr>
        <w:t xml:space="preserve">¹,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Zeinab S Noaman4.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¹</w:t>
      </w:r>
      <w:r w:rsidRPr="00552B57">
        <w:rPr>
          <w:rFonts w:asciiTheme="majorBidi" w:hAnsiTheme="majorBidi" w:cstheme="majorBidi"/>
          <w:sz w:val="24"/>
          <w:szCs w:val="24"/>
          <w:lang w:bidi="ar-EG"/>
        </w:rPr>
        <w:t>Department of Physical Medicine, Rheumatology and Rehabilitation, Assiut University Hospitals, Assiut, Egypt.</w:t>
      </w:r>
    </w:p>
    <w:p w:rsidR="00B47F9D" w:rsidRPr="00552B57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²</w:t>
      </w:r>
      <w:r w:rsidRPr="00552B57">
        <w:rPr>
          <w:rFonts w:asciiTheme="majorBidi" w:hAnsiTheme="majorBidi" w:cstheme="majorBidi"/>
          <w:sz w:val="24"/>
          <w:szCs w:val="24"/>
          <w:lang w:bidi="ar-EG"/>
        </w:rPr>
        <w:t>Department of Physical Medicine, Rheumatology and Rehabilitation, Al-Azhar (Assiut branch) University Hospitals, Assiut, Egypt.</w:t>
      </w:r>
    </w:p>
    <w:p w:rsidR="00B47F9D" w:rsidRPr="00552B57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³Department of Clinical Pathology, </w:t>
      </w:r>
      <w:r w:rsidRPr="00552B57">
        <w:rPr>
          <w:rFonts w:asciiTheme="majorBidi" w:hAnsiTheme="majorBidi" w:cstheme="majorBidi"/>
          <w:sz w:val="24"/>
          <w:szCs w:val="24"/>
          <w:lang w:bidi="ar-EG"/>
        </w:rPr>
        <w:t>Assiut University Hospitals, Assiut, Egypt.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 xml:space="preserve">4 </w:t>
      </w:r>
      <w:r w:rsidRPr="00552B57">
        <w:rPr>
          <w:rFonts w:asciiTheme="majorBidi" w:hAnsiTheme="majorBidi" w:cstheme="majorBidi"/>
          <w:sz w:val="24"/>
          <w:szCs w:val="24"/>
          <w:lang w:bidi="ar-EG"/>
        </w:rPr>
        <w:t>Department of Physical Medicine, Rheumatology and Rehabilitation,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Health Insurance 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B47F9D" w:rsidRPr="002C6A88" w:rsidRDefault="00B47F9D" w:rsidP="00B47F9D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C6A88">
        <w:rPr>
          <w:rFonts w:asciiTheme="majorBidi" w:hAnsiTheme="majorBidi" w:cstheme="majorBidi"/>
          <w:b/>
          <w:bCs/>
          <w:sz w:val="24"/>
          <w:szCs w:val="24"/>
        </w:rPr>
        <w:t>Background</w:t>
      </w:r>
    </w:p>
    <w:p w:rsidR="00092992" w:rsidRPr="008A0AD2" w:rsidRDefault="00092992" w:rsidP="00092992">
      <w:pPr>
        <w:autoSpaceDE w:val="0"/>
        <w:autoSpaceDN w:val="0"/>
        <w:adjustRightInd w:val="0"/>
        <w:spacing w:after="0" w:line="276" w:lineRule="auto"/>
        <w:rPr>
          <w:rFonts w:asciiTheme="majorBidi" w:eastAsia="ACaslonPro-Regular" w:hAnsiTheme="majorBidi" w:cstheme="majorBidi"/>
          <w:sz w:val="24"/>
          <w:szCs w:val="24"/>
        </w:rPr>
      </w:pPr>
      <w:r w:rsidRPr="008A0AD2">
        <w:rPr>
          <w:rFonts w:asciiTheme="majorBidi" w:eastAsia="ACaslonPro-Regular" w:hAnsiTheme="majorBidi" w:cstheme="majorBidi"/>
          <w:sz w:val="24"/>
          <w:szCs w:val="24"/>
        </w:rPr>
        <w:t>Systemic lupus erythematosus (SLE) is a chronic autoimmune disorder that affects multiple</w:t>
      </w:r>
    </w:p>
    <w:p w:rsidR="00092992" w:rsidRDefault="00092992" w:rsidP="00092992">
      <w:pPr>
        <w:pStyle w:val="Default"/>
        <w:spacing w:line="276" w:lineRule="auto"/>
        <w:rPr>
          <w:rFonts w:asciiTheme="majorBidi" w:hAnsiTheme="majorBidi" w:cstheme="majorBidi"/>
        </w:rPr>
      </w:pPr>
      <w:r w:rsidRPr="008A0AD2">
        <w:rPr>
          <w:rFonts w:asciiTheme="majorBidi" w:eastAsia="ACaslonPro-Regular" w:hAnsiTheme="majorBidi" w:cstheme="majorBidi"/>
        </w:rPr>
        <w:t xml:space="preserve">systems and </w:t>
      </w:r>
      <w:r w:rsidRPr="008A0AD2">
        <w:rPr>
          <w:rFonts w:asciiTheme="majorBidi" w:hAnsiTheme="majorBidi" w:cstheme="majorBidi"/>
        </w:rPr>
        <w:t xml:space="preserve">associated with an inflammatory status. </w:t>
      </w:r>
      <w:r w:rsidRPr="008A0AD2">
        <w:rPr>
          <w:rFonts w:asciiTheme="majorBidi" w:eastAsia="ACaslonPro-Regular" w:hAnsiTheme="majorBidi" w:cstheme="majorBidi"/>
        </w:rPr>
        <w:t xml:space="preserve">The exact cause is unknown but may be </w:t>
      </w:r>
      <w:r w:rsidRPr="008A0AD2">
        <w:rPr>
          <w:rFonts w:asciiTheme="majorBidi" w:hAnsiTheme="majorBidi" w:cstheme="majorBidi"/>
        </w:rPr>
        <w:t xml:space="preserve"> due to interaction between genetic, </w:t>
      </w:r>
      <w:r w:rsidRPr="008A0AD2">
        <w:rPr>
          <w:rFonts w:asciiTheme="majorBidi" w:eastAsia="ACaslonPro-Regular" w:hAnsiTheme="majorBidi" w:cstheme="majorBidi"/>
        </w:rPr>
        <w:t>ethnic</w:t>
      </w:r>
      <w:r w:rsidRPr="008A0AD2">
        <w:rPr>
          <w:rFonts w:asciiTheme="majorBidi" w:hAnsiTheme="majorBidi" w:cstheme="majorBidi"/>
        </w:rPr>
        <w:t xml:space="preserve">, immunological, endocrine, environmental factors and </w:t>
      </w:r>
      <w:r w:rsidRPr="008A0AD2">
        <w:rPr>
          <w:rFonts w:asciiTheme="majorBidi" w:eastAsia="ACaslonPro-Regular" w:hAnsiTheme="majorBidi" w:cstheme="majorBidi"/>
        </w:rPr>
        <w:t>medications</w:t>
      </w:r>
      <w:r>
        <w:rPr>
          <w:rFonts w:asciiTheme="majorBidi" w:eastAsia="ACaslonPro-Regular" w:hAnsiTheme="majorBidi" w:cstheme="majorBidi"/>
        </w:rPr>
        <w:fldChar w:fldCharType="begin"/>
      </w:r>
      <w:r>
        <w:rPr>
          <w:rFonts w:asciiTheme="majorBidi" w:eastAsia="ACaslonPro-Regular" w:hAnsiTheme="majorBidi" w:cstheme="majorBidi"/>
        </w:rPr>
        <w:instrText xml:space="preserve"> ADDIN EN.CITE &lt;EndNote&gt;&lt;Cite&gt;&lt;Author&gt;Bernknopf&lt;/Author&gt;&lt;Year&gt;2011&lt;/Year&gt;&lt;RecNum&gt;6&lt;/RecNum&gt;&lt;DisplayText&gt;[1, 2]&lt;/DisplayText&gt;&lt;record&gt;&lt;rec-number&gt;6&lt;/rec-number&gt;&lt;foreign-keys&gt;&lt;key app="EN" db-id="rwvxte5tp0ffe3ew9db5p25mv52xwszfwdat"&gt;6&lt;/key&gt;&lt;/foreign-keys&gt;&lt;ref-type name="Journal Article"&gt;17&lt;/ref-type&gt;&lt;contributors&gt;&lt;authors&gt;&lt;author&gt;Bernknopf, Allison&lt;/author&gt;&lt;author&gt;Rowley, Kristina&lt;/author&gt;&lt;author&gt;Bailey, Teresa&lt;/author&gt;&lt;/authors&gt;&lt;/contributors&gt;&lt;titles&gt;&lt;title&gt;A review of systemic lupus erythematosus and current treatment options&lt;/title&gt;&lt;secondary-title&gt;Formulary&lt;/secondary-title&gt;&lt;/titles&gt;&lt;periodical&gt;&lt;full-title&gt;Formulary&lt;/full-title&gt;&lt;/periodical&gt;&lt;pages&gt;178&lt;/pages&gt;&lt;volume&gt;46&lt;/volume&gt;&lt;number&gt;5&lt;/number&gt;&lt;dates&gt;&lt;year&gt;2011&lt;/year&gt;&lt;/dates&gt;&lt;isbn&gt;1082-801X&lt;/isbn&gt;&lt;urls&gt;&lt;/urls&gt;&lt;/record&gt;&lt;/Cite&gt;&lt;Cite&gt;&lt;Author&gt;García-Carrasco&lt;/Author&gt;&lt;Year&gt;2009&lt;/Year&gt;&lt;RecNum&gt;2&lt;/RecNum&gt;&lt;record&gt;&lt;rec-number&gt;2&lt;/rec-number&gt;&lt;foreign-keys&gt;&lt;key app="EN" db-id="rwvxte5tp0ffe3ew9db5p25mv52xwszfwdat"&gt;2&lt;/key&gt;&lt;/foreign-keys&gt;&lt;ref-type name="Journal Article"&gt;17&lt;/ref-type&gt;&lt;contributors&gt;&lt;authors&gt;&lt;author&gt;García-Carrasco, Mario&lt;/author&gt;&lt;author&gt;Mendoza-Pinto, Claudia&lt;/author&gt;&lt;author&gt;Escárcega, Ricardo O&lt;/author&gt;&lt;author&gt;Jimenez-Hernandez, Mario&lt;/author&gt;&lt;author&gt;Morales, I Etchegaray&lt;/author&gt;&lt;author&gt;Realpozo, P Munguía&lt;/author&gt;&lt;author&gt;Rebollo-Vazquez, Jaime&lt;/author&gt;&lt;author&gt;Soto-Vega, Elena&lt;/author&gt;&lt;author&gt;Deleze, Margarita&lt;/author&gt;&lt;author&gt;Cervera, Ricard&lt;/author&gt;&lt;/authors&gt;&lt;/contributors&gt;&lt;titles&gt;&lt;title&gt;Osteoporosis in patients with systemic lupus erythematosus&lt;/title&gt;&lt;secondary-title&gt;The Israel Medical Association Journal&lt;/secondary-title&gt;&lt;/titles&gt;&lt;periodical&gt;&lt;full-title&gt;The Israel Medical Association Journal&lt;/full-title&gt;&lt;/periodical&gt;&lt;pages&gt;486&lt;/pages&gt;&lt;volume&gt;11&lt;/volume&gt;&lt;number&gt;8&lt;/number&gt;&lt;dates&gt;&lt;year&gt;2009&lt;/year&gt;&lt;/dates&gt;&lt;isbn&gt;1565-1088&lt;/isbn&gt;&lt;urls&gt;&lt;/urls&gt;&lt;/record&gt;&lt;/Cite&gt;&lt;/EndNote&gt;</w:instrText>
      </w:r>
      <w:r>
        <w:rPr>
          <w:rFonts w:asciiTheme="majorBidi" w:eastAsia="ACaslonPro-Regular" w:hAnsiTheme="majorBidi" w:cstheme="majorBidi"/>
        </w:rPr>
        <w:fldChar w:fldCharType="separate"/>
      </w:r>
      <w:r>
        <w:rPr>
          <w:rFonts w:asciiTheme="majorBidi" w:eastAsia="ACaslonPro-Regular" w:hAnsiTheme="majorBidi" w:cstheme="majorBidi"/>
          <w:noProof/>
        </w:rPr>
        <w:t>[</w:t>
      </w:r>
      <w:hyperlink w:anchor="_ENREF_1" w:tooltip="Bernknopf, 2011 #6" w:history="1">
        <w:r>
          <w:rPr>
            <w:rFonts w:asciiTheme="majorBidi" w:eastAsia="ACaslonPro-Regular" w:hAnsiTheme="majorBidi" w:cstheme="majorBidi"/>
            <w:noProof/>
          </w:rPr>
          <w:t>1</w:t>
        </w:r>
      </w:hyperlink>
      <w:r>
        <w:rPr>
          <w:rFonts w:asciiTheme="majorBidi" w:eastAsia="ACaslonPro-Regular" w:hAnsiTheme="majorBidi" w:cstheme="majorBidi"/>
          <w:noProof/>
        </w:rPr>
        <w:t xml:space="preserve">, </w:t>
      </w:r>
      <w:hyperlink w:anchor="_ENREF_2" w:tooltip="García-Carrasco, 2009 #91" w:history="1">
        <w:r>
          <w:rPr>
            <w:rFonts w:asciiTheme="majorBidi" w:eastAsia="ACaslonPro-Regular" w:hAnsiTheme="majorBidi" w:cstheme="majorBidi"/>
            <w:noProof/>
          </w:rPr>
          <w:t>2</w:t>
        </w:r>
      </w:hyperlink>
      <w:r>
        <w:rPr>
          <w:rFonts w:asciiTheme="majorBidi" w:eastAsia="ACaslonPro-Regular" w:hAnsiTheme="majorBidi" w:cstheme="majorBidi"/>
          <w:noProof/>
        </w:rPr>
        <w:t>]</w:t>
      </w:r>
      <w:r>
        <w:rPr>
          <w:rFonts w:asciiTheme="majorBidi" w:eastAsia="ACaslonPro-Regular" w:hAnsiTheme="majorBidi" w:cstheme="majorBidi"/>
        </w:rPr>
        <w:fldChar w:fldCharType="end"/>
      </w:r>
      <w:r>
        <w:rPr>
          <w:rFonts w:asciiTheme="majorBidi" w:eastAsia="ACaslonPro-Regular" w:hAnsiTheme="majorBidi" w:cstheme="majorBidi"/>
        </w:rPr>
        <w:t xml:space="preserve">. Osteoporosis is considered a common presentation in SLE patients although that there has been a great improvement in survival rate and quality of life of these patients </w:t>
      </w:r>
      <w:r>
        <w:rPr>
          <w:rFonts w:asciiTheme="majorBidi" w:eastAsia="ACaslonPro-Regular" w:hAnsiTheme="majorBidi" w:cstheme="majorBidi"/>
        </w:rPr>
        <w:fldChar w:fldCharType="begin"/>
      </w:r>
      <w:r>
        <w:rPr>
          <w:rFonts w:asciiTheme="majorBidi" w:eastAsia="ACaslonPro-Regular" w:hAnsiTheme="majorBidi" w:cstheme="majorBidi"/>
        </w:rPr>
        <w:instrText xml:space="preserve"> ADDIN EN.CITE &lt;EndNote&gt;&lt;Cite&gt;&lt;Author&gt;Bultink&lt;/Author&gt;&lt;Year&gt;2012&lt;/Year&gt;&lt;RecNum&gt;5&lt;/RecNum&gt;&lt;DisplayText&gt;[3]&lt;/DisplayText&gt;&lt;record&gt;&lt;rec-number&gt;5&lt;/rec-number&gt;&lt;foreign-keys&gt;&lt;key app="EN" db-id="rwvxte5tp0ffe3ew9db5p25mv52xwszfwdat"&gt;5&lt;/key&gt;&lt;/foreign-keys&gt;&lt;ref-type name="Journal Article"&gt;17&lt;/ref-type&gt;&lt;contributors&gt;&lt;authors&gt;&lt;author&gt;Bultink, Irene EM&lt;/author&gt;&lt;/authors&gt;&lt;/contributors&gt;&lt;titles&gt;&lt;title&gt;Osteoporosis and fractures in systemic lupus erythematosus&lt;/title&gt;&lt;secondary-title&gt;Arthritis care &amp;amp; research&lt;/secondary-title&gt;&lt;/titles&gt;&lt;pages&gt;2-8&lt;/pages&gt;&lt;volume&gt;64&lt;/volume&gt;&lt;number&gt;1&lt;/number&gt;&lt;dates&gt;&lt;year&gt;2012&lt;/year&gt;&lt;/dates&gt;&lt;isbn&gt;2151-464X&lt;/isbn&gt;&lt;urls&gt;&lt;/urls&gt;&lt;/record&gt;&lt;/Cite&gt;&lt;/EndNote&gt;</w:instrText>
      </w:r>
      <w:r>
        <w:rPr>
          <w:rFonts w:asciiTheme="majorBidi" w:eastAsia="ACaslonPro-Regular" w:hAnsiTheme="majorBidi" w:cstheme="majorBidi"/>
        </w:rPr>
        <w:fldChar w:fldCharType="separate"/>
      </w:r>
      <w:r>
        <w:rPr>
          <w:rFonts w:asciiTheme="majorBidi" w:eastAsia="ACaslonPro-Regular" w:hAnsiTheme="majorBidi" w:cstheme="majorBidi"/>
          <w:noProof/>
        </w:rPr>
        <w:t>[</w:t>
      </w:r>
      <w:hyperlink w:anchor="_ENREF_3" w:tooltip="Bultink, 2012 #5" w:history="1">
        <w:r>
          <w:rPr>
            <w:rFonts w:asciiTheme="majorBidi" w:eastAsia="ACaslonPro-Regular" w:hAnsiTheme="majorBidi" w:cstheme="majorBidi"/>
            <w:noProof/>
          </w:rPr>
          <w:t>3</w:t>
        </w:r>
      </w:hyperlink>
      <w:r>
        <w:rPr>
          <w:rFonts w:asciiTheme="majorBidi" w:eastAsia="ACaslonPro-Regular" w:hAnsiTheme="majorBidi" w:cstheme="majorBidi"/>
          <w:noProof/>
        </w:rPr>
        <w:t>]</w:t>
      </w:r>
      <w:r>
        <w:rPr>
          <w:rFonts w:asciiTheme="majorBidi" w:eastAsia="ACaslonPro-Regular" w:hAnsiTheme="majorBidi" w:cstheme="majorBidi"/>
        </w:rPr>
        <w:fldChar w:fldCharType="end"/>
      </w:r>
      <w:r>
        <w:rPr>
          <w:rFonts w:asciiTheme="majorBidi" w:eastAsia="ACaslonPro-Regular" w:hAnsiTheme="majorBidi" w:cstheme="majorBidi"/>
        </w:rPr>
        <w:t xml:space="preserve">. </w:t>
      </w:r>
      <w:r w:rsidRPr="00383056">
        <w:rPr>
          <w:rFonts w:asciiTheme="majorBidi" w:hAnsiTheme="majorBidi" w:cstheme="majorBidi"/>
        </w:rPr>
        <w:t>There are evidence that vitamin D</w:t>
      </w:r>
      <w:r>
        <w:rPr>
          <w:rFonts w:asciiTheme="majorBidi" w:hAnsiTheme="majorBidi" w:cstheme="majorBidi"/>
        </w:rPr>
        <w:t xml:space="preserve"> has a role</w:t>
      </w:r>
      <w:r w:rsidRPr="00383056">
        <w:rPr>
          <w:rFonts w:asciiTheme="majorBidi" w:hAnsiTheme="majorBidi" w:cstheme="majorBidi"/>
        </w:rPr>
        <w:t xml:space="preserve"> in the SLE pathogenesis</w:t>
      </w:r>
      <w:r>
        <w:rPr>
          <w:rFonts w:asciiTheme="majorBidi" w:hAnsiTheme="majorBidi" w:cstheme="majorBidi"/>
        </w:rPr>
        <w:t xml:space="preserve"> by suppressing</w:t>
      </w:r>
      <w:r w:rsidRPr="00383056">
        <w:rPr>
          <w:rFonts w:asciiTheme="majorBidi" w:hAnsiTheme="majorBidi" w:cstheme="majorBidi"/>
        </w:rPr>
        <w:t xml:space="preserve"> the expression of "interferon signature"</w:t>
      </w: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EN.CITE &lt;EndNote&gt;&lt;Cite&gt;&lt;Author&gt;Kamen&lt;/Author&gt;&lt;Year&gt;2008&lt;/Year&gt;&lt;RecNum&gt;17&lt;/RecNum&gt;&lt;DisplayText&gt;[14]&lt;/DisplayText&gt;&lt;record&gt;&lt;rec-number&gt;17&lt;/rec-number&gt;&lt;foreign-keys&gt;&lt;key app="EN" db-id="rwvxte5tp0ffe3ew9db5p25mv52xwszfwdat"&gt;17&lt;/key&gt;&lt;/foreign-keys&gt;&lt;ref-type name="Journal Article"&gt;17&lt;/ref-type&gt;&lt;contributors&gt;&lt;authors&gt;&lt;author&gt;Kamen, Diane&lt;/author&gt;&lt;author&gt;Aranow, Cynthia&lt;/author&gt;&lt;/authors&gt;&lt;/contributors&gt;&lt;titles&gt;&lt;title&gt;Vitamin D in systemic lupus erythematosus&lt;/title&gt;&lt;secondary-title&gt;Current opinion in rheumatology&lt;/secondary-title&gt;&lt;/titles&gt;&lt;periodical&gt;&lt;full-title&gt;Current opinion in rheumatology&lt;/full-title&gt;&lt;/periodical&gt;&lt;pages&gt;532-537&lt;/pages&gt;&lt;volume&gt;20&lt;/volume&gt;&lt;number&gt;5&lt;/number&gt;&lt;dates&gt;&lt;year&gt;2008&lt;/year&gt;&lt;/dates&gt;&lt;isbn&gt;1040-8711&lt;/isbn&gt;&lt;urls&gt;&lt;/urls&gt;&lt;/record&gt;&lt;/Cite&gt;&lt;/EndNote&gt;</w:instrText>
      </w:r>
      <w:r>
        <w:rPr>
          <w:rFonts w:asciiTheme="majorBidi" w:hAnsiTheme="majorBidi" w:cstheme="majorBidi"/>
        </w:rPr>
        <w:fldChar w:fldCharType="separate"/>
      </w:r>
      <w:r>
        <w:rPr>
          <w:rFonts w:asciiTheme="majorBidi" w:hAnsiTheme="majorBidi" w:cstheme="majorBidi"/>
          <w:noProof/>
        </w:rPr>
        <w:t>[</w:t>
      </w:r>
      <w:hyperlink w:anchor="_ENREF_14" w:tooltip="Kamen, 2008 #17" w:history="1">
        <w:r>
          <w:rPr>
            <w:rFonts w:asciiTheme="majorBidi" w:hAnsiTheme="majorBidi" w:cstheme="majorBidi"/>
            <w:noProof/>
          </w:rPr>
          <w:t>14</w:t>
        </w:r>
      </w:hyperlink>
      <w:r>
        <w:rPr>
          <w:rFonts w:asciiTheme="majorBidi" w:hAnsiTheme="majorBidi" w:cstheme="majorBidi"/>
          <w:noProof/>
        </w:rPr>
        <w:t>]</w:t>
      </w:r>
      <w:r>
        <w:rPr>
          <w:rFonts w:asciiTheme="majorBidi" w:hAnsiTheme="majorBidi" w:cstheme="majorBidi"/>
        </w:rPr>
        <w:fldChar w:fldCharType="end"/>
      </w:r>
      <w:r>
        <w:rPr>
          <w:rFonts w:asciiTheme="majorBidi" w:hAnsiTheme="majorBidi" w:cstheme="majorBidi"/>
        </w:rPr>
        <w:t>.</w:t>
      </w:r>
    </w:p>
    <w:p w:rsidR="00092992" w:rsidRDefault="00092992" w:rsidP="00092992">
      <w:pPr>
        <w:spacing w:after="0" w:line="276" w:lineRule="auto"/>
        <w:rPr>
          <w:rFonts w:asciiTheme="majorBidi" w:eastAsia="ACaslonPro-Regular" w:hAnsiTheme="majorBidi" w:cstheme="majorBidi"/>
        </w:rPr>
      </w:pPr>
      <w:r w:rsidRPr="003B04A6">
        <w:rPr>
          <w:rFonts w:asciiTheme="majorBidi" w:hAnsiTheme="majorBidi" w:cstheme="majorBidi"/>
        </w:rPr>
        <w:t xml:space="preserve"> F</w:t>
      </w:r>
      <w:r>
        <w:rPr>
          <w:rFonts w:asciiTheme="majorBidi" w:hAnsiTheme="majorBidi" w:cstheme="majorBidi"/>
        </w:rPr>
        <w:t xml:space="preserve">requently </w:t>
      </w:r>
      <w:r w:rsidRPr="003B04A6">
        <w:rPr>
          <w:rFonts w:asciiTheme="majorBidi" w:hAnsiTheme="majorBidi" w:cstheme="majorBidi"/>
        </w:rPr>
        <w:t xml:space="preserve">pain caused by vitamin D deficiency might be overlooked in these patients in spite of having multiple </w:t>
      </w:r>
      <w:r>
        <w:rPr>
          <w:rFonts w:asciiTheme="majorBidi" w:hAnsiTheme="majorBidi" w:cstheme="majorBidi"/>
        </w:rPr>
        <w:t>risk factors for its occurrence</w:t>
      </w: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EN.CITE &lt;EndNote&gt;&lt;Cite&gt;&lt;Author&gt;Cutolo&lt;/Author&gt;&lt;Year&gt;2008&lt;/Year&gt;&lt;RecNum&gt;18&lt;/RecNum&gt;&lt;DisplayText&gt;[15]&lt;/DisplayText&gt;&lt;record&gt;&lt;rec-number&gt;18&lt;/rec-number&gt;&lt;foreign-keys&gt;&lt;key app="EN" db-id="rwvxte5tp0ffe3ew9db5p25mv52xwszfwdat"&gt;18&lt;/key&gt;&lt;/foreign-keys&gt;&lt;ref-type name="Journal Article"&gt;17&lt;/ref-type&gt;&lt;contributors&gt;&lt;authors&gt;&lt;author&gt;Cutolo, M&lt;/author&gt;&lt;author&gt;Otsa, K&lt;/author&gt;&lt;/authors&gt;&lt;/contributors&gt;&lt;titles&gt;&lt;title&gt;Vitamin D, immunity and lupus&lt;/title&gt;&lt;secondary-title&gt;lupus&lt;/secondary-title&gt;&lt;/titles&gt;&lt;periodical&gt;&lt;full-title&gt;Lupus&lt;/full-title&gt;&lt;/periodical&gt;&lt;pages&gt;6-10&lt;/pages&gt;&lt;volume&gt;17&lt;/volume&gt;&lt;number&gt;1&lt;/number&gt;&lt;dates&gt;&lt;year&gt;2008&lt;/year&gt;&lt;/dates&gt;&lt;isbn&gt;0961-2033&lt;/isbn&gt;&lt;urls&gt;&lt;/urls&gt;&lt;/record&gt;&lt;/Cite&gt;&lt;/EndNote&gt;</w:instrText>
      </w:r>
      <w:r>
        <w:rPr>
          <w:rFonts w:asciiTheme="majorBidi" w:hAnsiTheme="majorBidi" w:cstheme="majorBidi"/>
        </w:rPr>
        <w:fldChar w:fldCharType="separate"/>
      </w:r>
      <w:r>
        <w:rPr>
          <w:rFonts w:asciiTheme="majorBidi" w:hAnsiTheme="majorBidi" w:cstheme="majorBidi"/>
          <w:noProof/>
        </w:rPr>
        <w:t>[</w:t>
      </w:r>
      <w:hyperlink w:anchor="_ENREF_15" w:tooltip="Cutolo, 2008 #18" w:history="1">
        <w:r>
          <w:rPr>
            <w:rFonts w:asciiTheme="majorBidi" w:hAnsiTheme="majorBidi" w:cstheme="majorBidi"/>
            <w:noProof/>
          </w:rPr>
          <w:t>15</w:t>
        </w:r>
      </w:hyperlink>
      <w:r>
        <w:rPr>
          <w:rFonts w:asciiTheme="majorBidi" w:hAnsiTheme="majorBidi" w:cstheme="majorBidi"/>
          <w:noProof/>
        </w:rPr>
        <w:t>]</w:t>
      </w:r>
      <w:r>
        <w:rPr>
          <w:rFonts w:asciiTheme="majorBidi" w:hAnsiTheme="majorBidi" w:cstheme="majorBidi"/>
        </w:rPr>
        <w:fldChar w:fldCharType="end"/>
      </w:r>
      <w:r>
        <w:rPr>
          <w:rFonts w:asciiTheme="majorBidi" w:hAnsiTheme="majorBidi" w:cstheme="majorBidi"/>
        </w:rPr>
        <w:t>.</w:t>
      </w:r>
    </w:p>
    <w:p w:rsidR="00B47F9D" w:rsidRDefault="00B47F9D" w:rsidP="00092992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Patients </w:t>
      </w:r>
      <w:r w:rsidRPr="002C6A88">
        <w:rPr>
          <w:rFonts w:asciiTheme="majorBidi" w:hAnsiTheme="majorBidi" w:cstheme="majorBidi"/>
          <w:b/>
          <w:bCs/>
          <w:sz w:val="24"/>
          <w:szCs w:val="24"/>
        </w:rPr>
        <w:t>and methods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Ninety</w:t>
      </w:r>
      <w:r w:rsidRPr="00351CA2">
        <w:rPr>
          <w:rFonts w:asciiTheme="majorBidi" w:hAnsiTheme="majorBidi" w:cstheme="majorBidi"/>
          <w:color w:val="000000"/>
          <w:sz w:val="24"/>
          <w:szCs w:val="24"/>
        </w:rPr>
        <w:t xml:space="preserve"> systemic lupus erythematosus patients</w:t>
      </w:r>
      <w:r w:rsidRPr="00351CA2">
        <w:rPr>
          <w:rFonts w:asciiTheme="majorBidi" w:hAnsiTheme="majorBidi" w:cstheme="majorBidi"/>
          <w:sz w:val="24"/>
          <w:szCs w:val="24"/>
        </w:rPr>
        <w:t xml:space="preserve">, fulfilling the updated American College of Rheumatology (ACR) </w:t>
      </w:r>
      <w:r>
        <w:rPr>
          <w:rFonts w:asciiTheme="majorBidi" w:hAnsiTheme="majorBidi" w:cstheme="majorBidi"/>
          <w:sz w:val="24"/>
          <w:szCs w:val="24"/>
        </w:rPr>
        <w:t>criteria 2012 and</w:t>
      </w:r>
      <w:r w:rsidRPr="00351CA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60</w:t>
      </w:r>
      <w:r w:rsidRPr="00351CA2">
        <w:rPr>
          <w:rFonts w:asciiTheme="majorBidi" w:hAnsiTheme="majorBidi" w:cstheme="majorBidi"/>
          <w:sz w:val="24"/>
          <w:szCs w:val="24"/>
        </w:rPr>
        <w:t xml:space="preserve"> age and sex matched </w:t>
      </w:r>
      <w:r>
        <w:rPr>
          <w:rFonts w:asciiTheme="majorBidi" w:hAnsiTheme="majorBidi" w:cstheme="majorBidi"/>
          <w:sz w:val="24"/>
          <w:szCs w:val="24"/>
        </w:rPr>
        <w:t xml:space="preserve">controls </w:t>
      </w:r>
      <w:r w:rsidRPr="00351CA2">
        <w:rPr>
          <w:rFonts w:asciiTheme="majorBidi" w:hAnsiTheme="majorBidi" w:cstheme="majorBidi"/>
          <w:sz w:val="24"/>
          <w:szCs w:val="24"/>
        </w:rPr>
        <w:t>were included in this study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51CA2">
        <w:rPr>
          <w:rFonts w:asciiTheme="majorBidi" w:hAnsiTheme="majorBidi" w:cstheme="majorBidi"/>
          <w:color w:val="000000"/>
          <w:sz w:val="24"/>
          <w:szCs w:val="24"/>
        </w:rPr>
        <w:t>The level of  serum 25-hydroxyvitamin D (25(OH)D3)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and DEXA were</w:t>
      </w:r>
      <w:r w:rsidRPr="00351CA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>done for patients and controls.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</w:t>
      </w:r>
    </w:p>
    <w:p w:rsidR="00B47F9D" w:rsidRPr="00351CA2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51CA2">
        <w:rPr>
          <w:rFonts w:asciiTheme="majorBidi" w:hAnsiTheme="majorBidi" w:cstheme="majorBidi"/>
          <w:sz w:val="24"/>
          <w:szCs w:val="24"/>
        </w:rPr>
        <w:t>There was significantly lower mean value of serum vitamin D in the study group 22.99±10.27 versus 32.06± (14.06) in control group (P&lt;0.01)</w:t>
      </w:r>
      <w:r w:rsidR="00472CE5">
        <w:rPr>
          <w:rFonts w:asciiTheme="majorBidi" w:hAnsiTheme="majorBidi" w:cstheme="majorBidi"/>
          <w:sz w:val="24"/>
          <w:szCs w:val="24"/>
        </w:rPr>
        <w:t xml:space="preserve"> (Table 1)</w:t>
      </w:r>
      <w:r w:rsidRPr="00351CA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Pr="00351CA2">
        <w:rPr>
          <w:rFonts w:asciiTheme="majorBidi" w:hAnsiTheme="majorBidi" w:cstheme="majorBidi"/>
          <w:sz w:val="24"/>
          <w:szCs w:val="24"/>
        </w:rPr>
        <w:t>here was significant difference between SLEDAI score and vitamin D (P&lt;0.02)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51CA2">
        <w:rPr>
          <w:rFonts w:asciiTheme="majorBidi" w:hAnsiTheme="majorBidi" w:cstheme="majorBidi"/>
          <w:sz w:val="24"/>
          <w:szCs w:val="24"/>
        </w:rPr>
        <w:t>There were significance difference (P&lt;0.01) between study &amp; control with BMD of total lumbar (L1-L4) and Total hip and highly significant difference</w:t>
      </w:r>
      <w:r>
        <w:rPr>
          <w:rFonts w:asciiTheme="majorBidi" w:hAnsiTheme="majorBidi" w:cstheme="majorBidi"/>
          <w:sz w:val="24"/>
          <w:szCs w:val="24"/>
        </w:rPr>
        <w:t xml:space="preserve"> (p&lt;0.001)</w:t>
      </w:r>
      <w:r w:rsidRPr="00351CA2">
        <w:rPr>
          <w:rFonts w:asciiTheme="majorBidi" w:hAnsiTheme="majorBidi" w:cstheme="majorBidi"/>
          <w:sz w:val="24"/>
          <w:szCs w:val="24"/>
        </w:rPr>
        <w:t xml:space="preserve"> with neck</w:t>
      </w:r>
      <w:r>
        <w:rPr>
          <w:rFonts w:asciiTheme="majorBidi" w:hAnsiTheme="majorBidi" w:cstheme="majorBidi"/>
          <w:sz w:val="24"/>
          <w:szCs w:val="24"/>
        </w:rPr>
        <w:t xml:space="preserve"> of femur, ward’s angle of femur,</w:t>
      </w:r>
      <w:r w:rsidRPr="00351CA2">
        <w:rPr>
          <w:rFonts w:asciiTheme="majorBidi" w:hAnsiTheme="majorBidi" w:cstheme="majorBidi"/>
          <w:sz w:val="24"/>
          <w:szCs w:val="24"/>
        </w:rPr>
        <w:t xml:space="preserve"> trochanter of femur</w:t>
      </w:r>
      <w:r>
        <w:rPr>
          <w:rFonts w:asciiTheme="majorBidi" w:hAnsiTheme="majorBidi" w:cstheme="majorBidi"/>
          <w:sz w:val="24"/>
          <w:szCs w:val="24"/>
        </w:rPr>
        <w:t xml:space="preserve"> and radius</w:t>
      </w:r>
      <w:r w:rsidR="00472CE5">
        <w:rPr>
          <w:rFonts w:asciiTheme="majorBidi" w:hAnsiTheme="majorBidi" w:cstheme="majorBidi"/>
          <w:sz w:val="24"/>
          <w:szCs w:val="24"/>
        </w:rPr>
        <w:t xml:space="preserve"> (Table 2)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B47F9D" w:rsidRPr="00351CA2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51CA2">
        <w:rPr>
          <w:rFonts w:asciiTheme="majorBidi" w:hAnsiTheme="majorBidi" w:cstheme="majorBidi"/>
          <w:sz w:val="24"/>
          <w:szCs w:val="24"/>
        </w:rPr>
        <w:t>There was significant difference (P&lt;0.05) between the study and control groups regarding T score of lumbar spine (L1-L4) (p&lt;0.03), neck of the femur (p&lt;0.01) and total hip bone (p&lt;0.02).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51CA2">
        <w:rPr>
          <w:rFonts w:asciiTheme="majorBidi" w:hAnsiTheme="majorBidi" w:cstheme="majorBidi"/>
          <w:sz w:val="24"/>
          <w:szCs w:val="24"/>
        </w:rPr>
        <w:t xml:space="preserve">Our results showed that there was significant difference between SLEDAI score and T score of neck of the femur (P&lt;0.02) and radius bone (p&lt;0.012). While, there was no significant difference </w:t>
      </w:r>
      <w:r w:rsidRPr="00351CA2">
        <w:rPr>
          <w:rFonts w:asciiTheme="majorBidi" w:hAnsiTheme="majorBidi" w:cstheme="majorBidi"/>
          <w:sz w:val="24"/>
          <w:szCs w:val="24"/>
        </w:rPr>
        <w:lastRenderedPageBreak/>
        <w:t>between SLEDAI score and T score of total hip, lumbar spine(L1-4), ward's angle of the femur and the trochanter of the femur</w:t>
      </w:r>
      <w:r w:rsidR="00472CE5">
        <w:rPr>
          <w:rFonts w:asciiTheme="majorBidi" w:hAnsiTheme="majorBidi" w:cstheme="majorBidi"/>
          <w:sz w:val="24"/>
          <w:szCs w:val="24"/>
        </w:rPr>
        <w:t xml:space="preserve"> (Table </w:t>
      </w:r>
      <w:r w:rsidR="001265B4">
        <w:rPr>
          <w:rFonts w:asciiTheme="majorBidi" w:hAnsiTheme="majorBidi" w:cstheme="majorBidi"/>
          <w:sz w:val="24"/>
          <w:szCs w:val="24"/>
        </w:rPr>
        <w:t>3</w:t>
      </w:r>
      <w:r w:rsidR="00472CE5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</w:t>
      </w:r>
    </w:p>
    <w:p w:rsidR="00B47F9D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Vitamin D deficiency and low BMD are common in SLE patients. There was significant difference between SLE patients and control group regarding vitamin D, BMD and T score at different sites.</w:t>
      </w:r>
    </w:p>
    <w:p w:rsidR="001265B4" w:rsidRDefault="001265B4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:rsidR="001265B4" w:rsidRDefault="001265B4" w:rsidP="00B47F9D">
      <w:p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1265B4">
        <w:rPr>
          <w:rFonts w:asciiTheme="majorBidi" w:hAnsiTheme="majorBidi" w:cstheme="majorBidi"/>
          <w:b/>
          <w:bCs/>
          <w:sz w:val="28"/>
          <w:szCs w:val="28"/>
        </w:rPr>
        <w:t>References</w:t>
      </w:r>
    </w:p>
    <w:p w:rsidR="001265B4" w:rsidRPr="007C20DF" w:rsidRDefault="001265B4" w:rsidP="001265B4">
      <w:pPr>
        <w:pStyle w:val="EndNoteBibliography"/>
        <w:spacing w:after="0"/>
        <w:ind w:left="720" w:hanging="720"/>
      </w:pPr>
      <w:r>
        <w:t xml:space="preserve">1.         </w:t>
      </w:r>
      <w:r w:rsidRPr="007C20DF">
        <w:t xml:space="preserve">Bernknopf, A., K. Rowley, and T. Bailey, </w:t>
      </w:r>
      <w:r w:rsidRPr="007C20DF">
        <w:rPr>
          <w:i/>
        </w:rPr>
        <w:t>A review of systemic lupus erythematosus and current treatment options.</w:t>
      </w:r>
      <w:r w:rsidRPr="007C20DF">
        <w:t xml:space="preserve"> Formulary, 2011. </w:t>
      </w:r>
      <w:r w:rsidRPr="007C20DF">
        <w:rPr>
          <w:b/>
        </w:rPr>
        <w:t>46</w:t>
      </w:r>
      <w:r w:rsidRPr="007C20DF">
        <w:t>(5): p. 178.</w:t>
      </w:r>
    </w:p>
    <w:p w:rsidR="001265B4" w:rsidRPr="007C20DF" w:rsidRDefault="001265B4" w:rsidP="001265B4">
      <w:pPr>
        <w:pStyle w:val="EndNoteBibliography"/>
        <w:spacing w:after="0"/>
        <w:ind w:left="720" w:hanging="720"/>
      </w:pPr>
      <w:bookmarkStart w:id="0" w:name="_ENREF_2"/>
      <w:r w:rsidRPr="007C20DF">
        <w:t>2.</w:t>
      </w:r>
      <w:r w:rsidRPr="007C20DF">
        <w:tab/>
        <w:t xml:space="preserve">García-Carrasco, M., et al., </w:t>
      </w:r>
      <w:r w:rsidRPr="007C20DF">
        <w:rPr>
          <w:i/>
        </w:rPr>
        <w:t>Osteoporosis in patients with systemic lupus erythematosus.</w:t>
      </w:r>
      <w:r w:rsidRPr="007C20DF">
        <w:t xml:space="preserve"> The Israel Medical Association Journal, 2009. </w:t>
      </w:r>
      <w:r w:rsidRPr="007C20DF">
        <w:rPr>
          <w:b/>
        </w:rPr>
        <w:t>11</w:t>
      </w:r>
      <w:r w:rsidRPr="007C20DF">
        <w:t>(8): p. 486.</w:t>
      </w:r>
      <w:bookmarkEnd w:id="0"/>
    </w:p>
    <w:p w:rsidR="001265B4" w:rsidRDefault="001265B4" w:rsidP="001265B4">
      <w:pPr>
        <w:pStyle w:val="EndNoteBibliography"/>
        <w:spacing w:after="0"/>
        <w:ind w:left="720" w:hanging="720"/>
      </w:pPr>
      <w:bookmarkStart w:id="1" w:name="_ENREF_3"/>
      <w:r w:rsidRPr="007C20DF">
        <w:t>3.</w:t>
      </w:r>
      <w:r w:rsidRPr="007C20DF">
        <w:tab/>
        <w:t xml:space="preserve">Bultink, I.E., </w:t>
      </w:r>
      <w:r w:rsidRPr="007C20DF">
        <w:rPr>
          <w:i/>
        </w:rPr>
        <w:t>Osteoporosis and fractures in systemic lupus erythematosus.</w:t>
      </w:r>
      <w:r w:rsidRPr="007C20DF">
        <w:t xml:space="preserve"> Arthritis care &amp; research, 2012. </w:t>
      </w:r>
      <w:r w:rsidRPr="007C20DF">
        <w:rPr>
          <w:b/>
        </w:rPr>
        <w:t>64</w:t>
      </w:r>
      <w:r w:rsidRPr="007C20DF">
        <w:t>(1): p. 2-8.</w:t>
      </w:r>
      <w:bookmarkEnd w:id="1"/>
    </w:p>
    <w:p w:rsidR="001265B4" w:rsidRPr="007C20DF" w:rsidRDefault="001265B4" w:rsidP="001265B4">
      <w:pPr>
        <w:pStyle w:val="EndNoteBibliography"/>
        <w:spacing w:after="0"/>
        <w:ind w:left="720" w:hanging="720"/>
      </w:pPr>
      <w:r>
        <w:t xml:space="preserve">4.          </w:t>
      </w:r>
      <w:r w:rsidRPr="007C20DF">
        <w:t xml:space="preserve">Kamen, D. and C. Aranow, </w:t>
      </w:r>
      <w:r w:rsidRPr="007C20DF">
        <w:rPr>
          <w:i/>
        </w:rPr>
        <w:t>Vitamin D in systemic lupus erythematosus.</w:t>
      </w:r>
      <w:r w:rsidRPr="007C20DF">
        <w:t xml:space="preserve"> Current opinion in rheumatology, 2008. </w:t>
      </w:r>
      <w:r w:rsidRPr="007C20DF">
        <w:rPr>
          <w:b/>
        </w:rPr>
        <w:t>20</w:t>
      </w:r>
      <w:r w:rsidRPr="007C20DF">
        <w:t>(5): p. 532-537.</w:t>
      </w:r>
    </w:p>
    <w:p w:rsidR="001265B4" w:rsidRPr="007C20DF" w:rsidRDefault="001265B4" w:rsidP="001265B4">
      <w:pPr>
        <w:pStyle w:val="EndNoteBibliography"/>
        <w:spacing w:after="0"/>
        <w:ind w:left="720" w:hanging="720"/>
      </w:pPr>
      <w:bookmarkStart w:id="2" w:name="_ENREF_15"/>
      <w:bookmarkStart w:id="3" w:name="_GoBack"/>
      <w:bookmarkEnd w:id="3"/>
      <w:r w:rsidRPr="007C20DF">
        <w:t>5.</w:t>
      </w:r>
      <w:r w:rsidRPr="007C20DF">
        <w:tab/>
        <w:t xml:space="preserve">Cutolo, M. and K. Otsa, </w:t>
      </w:r>
      <w:r w:rsidRPr="007C20DF">
        <w:rPr>
          <w:i/>
        </w:rPr>
        <w:t>Vitamin D, immunity and lupus.</w:t>
      </w:r>
      <w:r w:rsidRPr="007C20DF">
        <w:t xml:space="preserve"> lupus, 2008. </w:t>
      </w:r>
      <w:r w:rsidRPr="007C20DF">
        <w:rPr>
          <w:b/>
        </w:rPr>
        <w:t>17</w:t>
      </w:r>
      <w:r w:rsidRPr="007C20DF">
        <w:t>(1): p. 6-10.</w:t>
      </w:r>
      <w:bookmarkEnd w:id="2"/>
    </w:p>
    <w:p w:rsidR="001265B4" w:rsidRPr="007C20DF" w:rsidRDefault="001265B4" w:rsidP="001265B4">
      <w:pPr>
        <w:pStyle w:val="EndNoteBibliography"/>
        <w:spacing w:after="0"/>
        <w:ind w:left="720" w:hanging="720"/>
      </w:pPr>
    </w:p>
    <w:p w:rsidR="001265B4" w:rsidRPr="001265B4" w:rsidRDefault="001265B4" w:rsidP="00B47F9D">
      <w:p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B47F9D" w:rsidRPr="002F38F8" w:rsidRDefault="00B47F9D" w:rsidP="00B47F9D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:rsidR="00472CE5" w:rsidRPr="00333868" w:rsidRDefault="00472CE5" w:rsidP="00472CE5">
      <w:pPr>
        <w:spacing w:line="360" w:lineRule="auto"/>
        <w:rPr>
          <w:b/>
          <w:bCs/>
          <w:sz w:val="28"/>
          <w:szCs w:val="28"/>
        </w:rPr>
      </w:pPr>
      <w:r w:rsidRPr="00333868">
        <w:rPr>
          <w:b/>
          <w:bCs/>
          <w:sz w:val="28"/>
          <w:szCs w:val="28"/>
        </w:rPr>
        <w:t>Table (</w:t>
      </w:r>
      <w:r>
        <w:rPr>
          <w:b/>
          <w:bCs/>
          <w:sz w:val="28"/>
          <w:szCs w:val="28"/>
        </w:rPr>
        <w:t>1</w:t>
      </w:r>
      <w:r w:rsidRPr="00333868">
        <w:rPr>
          <w:b/>
          <w:bCs/>
          <w:sz w:val="28"/>
          <w:szCs w:val="28"/>
        </w:rPr>
        <w:t xml:space="preserve">): </w:t>
      </w:r>
      <w:r>
        <w:rPr>
          <w:b/>
          <w:bCs/>
          <w:sz w:val="28"/>
          <w:szCs w:val="28"/>
        </w:rPr>
        <w:t>Vitamin D level</w:t>
      </w:r>
      <w:r w:rsidRPr="00333868">
        <w:rPr>
          <w:b/>
          <w:bCs/>
          <w:sz w:val="28"/>
          <w:szCs w:val="28"/>
        </w:rPr>
        <w:t xml:space="preserve"> in study</w:t>
      </w:r>
      <w:r>
        <w:rPr>
          <w:b/>
          <w:bCs/>
          <w:sz w:val="28"/>
          <w:szCs w:val="28"/>
        </w:rPr>
        <w:t xml:space="preserve"> &amp; control</w:t>
      </w:r>
      <w:r w:rsidRPr="00333868">
        <w:rPr>
          <w:b/>
          <w:bCs/>
          <w:sz w:val="28"/>
          <w:szCs w:val="28"/>
        </w:rPr>
        <w:t xml:space="preserve"> group</w:t>
      </w:r>
      <w:r>
        <w:rPr>
          <w:b/>
          <w:bCs/>
          <w:sz w:val="28"/>
          <w:szCs w:val="28"/>
        </w:rPr>
        <w:t>s.</w:t>
      </w:r>
    </w:p>
    <w:tbl>
      <w:tblPr>
        <w:tblStyle w:val="TableGrid"/>
        <w:tblW w:w="0" w:type="auto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890"/>
        <w:gridCol w:w="1710"/>
        <w:gridCol w:w="1458"/>
      </w:tblGrid>
      <w:tr w:rsidR="00472CE5" w:rsidRPr="00731078" w:rsidTr="008462FC">
        <w:tc>
          <w:tcPr>
            <w:tcW w:w="4230" w:type="dxa"/>
          </w:tcPr>
          <w:p w:rsidR="00472CE5" w:rsidRPr="00333868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333868">
              <w:rPr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1890" w:type="dxa"/>
          </w:tcPr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33868">
              <w:rPr>
                <w:b/>
                <w:bCs/>
                <w:sz w:val="28"/>
                <w:szCs w:val="28"/>
              </w:rPr>
              <w:t>Study group “n=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333868">
              <w:rPr>
                <w:b/>
                <w:bCs/>
                <w:sz w:val="28"/>
                <w:szCs w:val="28"/>
              </w:rPr>
              <w:t>0”</w:t>
            </w:r>
          </w:p>
        </w:tc>
        <w:tc>
          <w:tcPr>
            <w:tcW w:w="1710" w:type="dxa"/>
          </w:tcPr>
          <w:p w:rsidR="00472CE5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Control group</w:t>
            </w:r>
          </w:p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“n=60”</w:t>
            </w:r>
          </w:p>
        </w:tc>
        <w:tc>
          <w:tcPr>
            <w:tcW w:w="1458" w:type="dxa"/>
          </w:tcPr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P-value</w:t>
            </w:r>
          </w:p>
        </w:tc>
      </w:tr>
      <w:tr w:rsidR="00472CE5" w:rsidRPr="00731078" w:rsidTr="008462FC">
        <w:tc>
          <w:tcPr>
            <w:tcW w:w="4230" w:type="dxa"/>
          </w:tcPr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Vitamin D “ng/ml”</w:t>
            </w:r>
          </w:p>
          <w:p w:rsidR="00472CE5" w:rsidRPr="006B2996" w:rsidRDefault="00472CE5" w:rsidP="008462FC">
            <w:pPr>
              <w:pStyle w:val="ListParagraph"/>
              <w:spacing w:line="360" w:lineRule="auto"/>
              <w:ind w:left="360"/>
              <w:rPr>
                <w:rFonts w:cstheme="minorHAnsi"/>
                <w:sz w:val="28"/>
                <w:szCs w:val="28"/>
              </w:rPr>
            </w:pPr>
            <w:r w:rsidRPr="006B2996">
              <w:rPr>
                <w:sz w:val="28"/>
                <w:szCs w:val="28"/>
              </w:rPr>
              <w:t>mean</w:t>
            </w:r>
            <w:r w:rsidRPr="006B2996">
              <w:rPr>
                <w:rFonts w:cstheme="minorHAnsi"/>
                <w:sz w:val="28"/>
                <w:szCs w:val="28"/>
              </w:rPr>
              <w:t>±SD</w:t>
            </w:r>
          </w:p>
          <w:p w:rsidR="00472CE5" w:rsidRPr="00E86512" w:rsidRDefault="00472CE5" w:rsidP="008462FC">
            <w:pPr>
              <w:pStyle w:val="ListParagraph"/>
              <w:spacing w:line="360" w:lineRule="auto"/>
              <w:ind w:left="360"/>
              <w:rPr>
                <w:sz w:val="28"/>
                <w:szCs w:val="28"/>
              </w:rPr>
            </w:pPr>
            <w:r w:rsidRPr="006B2996">
              <w:rPr>
                <w:sz w:val="28"/>
                <w:szCs w:val="28"/>
              </w:rPr>
              <w:t>range</w:t>
            </w:r>
          </w:p>
          <w:p w:rsidR="00472CE5" w:rsidRPr="006B3185" w:rsidRDefault="00472CE5" w:rsidP="00472CE5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sz w:val="28"/>
                <w:szCs w:val="28"/>
              </w:rPr>
            </w:pPr>
            <w:r w:rsidRPr="006B3185">
              <w:rPr>
                <w:sz w:val="28"/>
                <w:szCs w:val="28"/>
              </w:rPr>
              <w:t>Deficient “&lt;20</w:t>
            </w:r>
            <w:r>
              <w:rPr>
                <w:sz w:val="28"/>
                <w:szCs w:val="28"/>
              </w:rPr>
              <w:t>ng/ml</w:t>
            </w:r>
            <w:r w:rsidRPr="006B3185">
              <w:rPr>
                <w:sz w:val="28"/>
                <w:szCs w:val="28"/>
              </w:rPr>
              <w:t>”</w:t>
            </w:r>
          </w:p>
          <w:p w:rsidR="00472CE5" w:rsidRPr="006B3185" w:rsidRDefault="00472CE5" w:rsidP="00472CE5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sz w:val="28"/>
                <w:szCs w:val="28"/>
              </w:rPr>
            </w:pPr>
            <w:r w:rsidRPr="006B3185">
              <w:rPr>
                <w:sz w:val="28"/>
                <w:szCs w:val="28"/>
              </w:rPr>
              <w:t>Insufficient”20-30</w:t>
            </w:r>
            <w:r>
              <w:rPr>
                <w:sz w:val="28"/>
                <w:szCs w:val="28"/>
              </w:rPr>
              <w:t>ng/ml</w:t>
            </w:r>
            <w:r w:rsidRPr="006B3185">
              <w:rPr>
                <w:sz w:val="28"/>
                <w:szCs w:val="28"/>
              </w:rPr>
              <w:t>”</w:t>
            </w:r>
          </w:p>
          <w:p w:rsidR="00472CE5" w:rsidRPr="006B3185" w:rsidRDefault="00472CE5" w:rsidP="00472CE5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b/>
                <w:bCs/>
                <w:sz w:val="28"/>
                <w:szCs w:val="28"/>
              </w:rPr>
            </w:pPr>
            <w:r w:rsidRPr="006B3185">
              <w:rPr>
                <w:sz w:val="28"/>
                <w:szCs w:val="28"/>
              </w:rPr>
              <w:t>Normal “&gt;30</w:t>
            </w:r>
            <w:r>
              <w:rPr>
                <w:sz w:val="28"/>
                <w:szCs w:val="28"/>
              </w:rPr>
              <w:t>ng/ml</w:t>
            </w:r>
            <w:r w:rsidRPr="006B3185">
              <w:rPr>
                <w:sz w:val="28"/>
                <w:szCs w:val="28"/>
              </w:rPr>
              <w:t>”</w:t>
            </w:r>
          </w:p>
        </w:tc>
        <w:tc>
          <w:tcPr>
            <w:tcW w:w="1890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22.99±10.27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(9.5-43.0)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51(56.7%)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12(13.3%)</w:t>
            </w:r>
          </w:p>
          <w:p w:rsidR="00472CE5" w:rsidRPr="00B524E1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27(30.0%)</w:t>
            </w:r>
          </w:p>
        </w:tc>
        <w:tc>
          <w:tcPr>
            <w:tcW w:w="1710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32.06±14.06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(10.6-65.0)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15(25.0%)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15(25.0%)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30(50.0%)</w:t>
            </w:r>
          </w:p>
        </w:tc>
        <w:tc>
          <w:tcPr>
            <w:tcW w:w="1458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&lt;0.01*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&lt;0.001**</w:t>
            </w:r>
          </w:p>
        </w:tc>
      </w:tr>
    </w:tbl>
    <w:p w:rsidR="00472CE5" w:rsidRPr="00543462" w:rsidRDefault="00472CE5" w:rsidP="00472CE5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43462">
        <w:rPr>
          <w:rFonts w:asciiTheme="majorBidi" w:hAnsiTheme="majorBidi" w:cstheme="majorBidi"/>
          <w:sz w:val="24"/>
          <w:szCs w:val="24"/>
        </w:rPr>
        <w:t>Data are presented as mean ±SD, range or number and percentage (%). Statistical significance is considered if P value&lt;0.05</w:t>
      </w:r>
    </w:p>
    <w:p w:rsidR="00472CE5" w:rsidRPr="00333868" w:rsidRDefault="00472CE5" w:rsidP="00472CE5">
      <w:pPr>
        <w:spacing w:line="360" w:lineRule="auto"/>
        <w:rPr>
          <w:b/>
          <w:bCs/>
          <w:sz w:val="28"/>
          <w:szCs w:val="28"/>
        </w:rPr>
      </w:pPr>
      <w:r w:rsidRPr="00333868">
        <w:rPr>
          <w:b/>
          <w:bCs/>
          <w:sz w:val="28"/>
          <w:szCs w:val="28"/>
        </w:rPr>
        <w:t>Table (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)</w:t>
      </w:r>
      <w:r w:rsidRPr="00333868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BMD</w:t>
      </w:r>
      <w:r w:rsidRPr="00333868">
        <w:rPr>
          <w:b/>
          <w:bCs/>
          <w:sz w:val="28"/>
          <w:szCs w:val="28"/>
        </w:rPr>
        <w:t xml:space="preserve"> in study</w:t>
      </w:r>
      <w:r>
        <w:rPr>
          <w:b/>
          <w:bCs/>
          <w:sz w:val="28"/>
          <w:szCs w:val="28"/>
        </w:rPr>
        <w:t xml:space="preserve"> &amp; control</w:t>
      </w:r>
      <w:r w:rsidRPr="00333868">
        <w:rPr>
          <w:b/>
          <w:bCs/>
          <w:sz w:val="28"/>
          <w:szCs w:val="28"/>
        </w:rPr>
        <w:t xml:space="preserve"> group</w:t>
      </w:r>
      <w:r>
        <w:rPr>
          <w:b/>
          <w:bCs/>
          <w:sz w:val="28"/>
          <w:szCs w:val="28"/>
        </w:rPr>
        <w:t>s.</w:t>
      </w:r>
    </w:p>
    <w:tbl>
      <w:tblPr>
        <w:tblStyle w:val="TableGrid"/>
        <w:tblW w:w="0" w:type="auto"/>
        <w:tblInd w:w="-3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2000"/>
        <w:gridCol w:w="1788"/>
        <w:gridCol w:w="1450"/>
      </w:tblGrid>
      <w:tr w:rsidR="00472CE5" w:rsidRPr="00731078" w:rsidTr="008462FC">
        <w:tc>
          <w:tcPr>
            <w:tcW w:w="3960" w:type="dxa"/>
          </w:tcPr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BMD</w:t>
            </w:r>
          </w:p>
        </w:tc>
        <w:tc>
          <w:tcPr>
            <w:tcW w:w="2000" w:type="dxa"/>
          </w:tcPr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33868">
              <w:rPr>
                <w:b/>
                <w:bCs/>
                <w:sz w:val="28"/>
                <w:szCs w:val="28"/>
              </w:rPr>
              <w:t>Study group “n=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333868">
              <w:rPr>
                <w:b/>
                <w:bCs/>
                <w:sz w:val="28"/>
                <w:szCs w:val="28"/>
              </w:rPr>
              <w:t>0”</w:t>
            </w:r>
          </w:p>
        </w:tc>
        <w:tc>
          <w:tcPr>
            <w:tcW w:w="1788" w:type="dxa"/>
          </w:tcPr>
          <w:p w:rsidR="00472CE5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Control group</w:t>
            </w:r>
          </w:p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“n=60”</w:t>
            </w:r>
          </w:p>
        </w:tc>
        <w:tc>
          <w:tcPr>
            <w:tcW w:w="1450" w:type="dxa"/>
          </w:tcPr>
          <w:p w:rsidR="00472CE5" w:rsidRPr="00333868" w:rsidRDefault="00472CE5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P-value</w:t>
            </w:r>
          </w:p>
        </w:tc>
      </w:tr>
      <w:tr w:rsidR="00472CE5" w:rsidRPr="00731078" w:rsidTr="008462FC">
        <w:tc>
          <w:tcPr>
            <w:tcW w:w="3960" w:type="dxa"/>
          </w:tcPr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1- Total lumber(L1-L4)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2- Neck of femur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3- ward's angle of femur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4- Trochanter of femur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5- Total hip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  <w:p w:rsidR="00472CE5" w:rsidRDefault="00472CE5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6- Radius</w:t>
            </w:r>
          </w:p>
          <w:p w:rsidR="00472CE5" w:rsidRPr="00252684" w:rsidRDefault="00472CE5" w:rsidP="008462FC">
            <w:pPr>
              <w:spacing w:line="360" w:lineRule="auto"/>
              <w:rPr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mean</w:t>
            </w:r>
            <w:r w:rsidRPr="00252684">
              <w:rPr>
                <w:rFonts w:cstheme="minorHAnsi"/>
                <w:sz w:val="28"/>
                <w:szCs w:val="28"/>
              </w:rPr>
              <w:t>±</w:t>
            </w:r>
            <w:r w:rsidRPr="00252684">
              <w:rPr>
                <w:sz w:val="28"/>
                <w:szCs w:val="28"/>
              </w:rPr>
              <w:t>SD</w:t>
            </w:r>
          </w:p>
          <w:p w:rsidR="00472CE5" w:rsidRPr="00252684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  <w:r w:rsidRPr="00252684">
              <w:rPr>
                <w:sz w:val="28"/>
                <w:szCs w:val="28"/>
              </w:rPr>
              <w:t>Range</w:t>
            </w:r>
          </w:p>
        </w:tc>
        <w:tc>
          <w:tcPr>
            <w:tcW w:w="2000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1.02±0.03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(0.23-1.34)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0.93±0.03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(0.32-1.43)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0.818±0.04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(0.19-1.45)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0.72±0.03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(0.14-1.19)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0.73±0.18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(0.14-1.19)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0.43±0.02</w:t>
            </w:r>
          </w:p>
          <w:p w:rsidR="00472CE5" w:rsidRPr="00B524E1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(0.08-0.58)</w:t>
            </w:r>
          </w:p>
        </w:tc>
        <w:tc>
          <w:tcPr>
            <w:tcW w:w="1788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1.15±0.02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(0.84-1.32)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1.09±0.02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(0.92-1.28)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1.02±0.02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(0.77-1.28)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0.85±0.3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(0.30-1.0)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0.85±0.13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(0.30-1.00)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0.52±0.01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(0.40-0.65)</w:t>
            </w:r>
          </w:p>
        </w:tc>
        <w:tc>
          <w:tcPr>
            <w:tcW w:w="1450" w:type="dxa"/>
          </w:tcPr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&lt;0.01*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&lt;0.003**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&lt;0.002**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&lt;0.002**</w:t>
            </w:r>
          </w:p>
          <w:p w:rsidR="00472CE5" w:rsidRDefault="00472CE5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&lt;0.01*</w:t>
            </w: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472CE5" w:rsidRDefault="00472CE5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&lt;0.002**</w:t>
            </w:r>
          </w:p>
        </w:tc>
      </w:tr>
    </w:tbl>
    <w:p w:rsidR="00472CE5" w:rsidRDefault="00472CE5" w:rsidP="00472CE5">
      <w:pPr>
        <w:rPr>
          <w:sz w:val="28"/>
          <w:szCs w:val="28"/>
        </w:rPr>
      </w:pPr>
      <w:r>
        <w:rPr>
          <w:sz w:val="28"/>
          <w:szCs w:val="28"/>
        </w:rPr>
        <w:t>BMD: Bone mineral density</w:t>
      </w:r>
      <w:r w:rsidRPr="008132E5">
        <w:rPr>
          <w:i/>
          <w:iCs/>
          <w:sz w:val="24"/>
          <w:szCs w:val="24"/>
        </w:rPr>
        <w:t xml:space="preserve">. </w:t>
      </w:r>
      <w:r w:rsidRPr="008132E5">
        <w:rPr>
          <w:i/>
          <w:iCs/>
          <w:sz w:val="28"/>
          <w:szCs w:val="28"/>
        </w:rPr>
        <w:t xml:space="preserve">Data are presented as mean±SD, range or number and percentage (%). </w:t>
      </w:r>
    </w:p>
    <w:p w:rsidR="001265B4" w:rsidRPr="00333868" w:rsidRDefault="001265B4" w:rsidP="001265B4">
      <w:pPr>
        <w:spacing w:line="360" w:lineRule="auto"/>
        <w:rPr>
          <w:b/>
          <w:bCs/>
          <w:sz w:val="28"/>
          <w:szCs w:val="28"/>
        </w:rPr>
      </w:pPr>
      <w:r w:rsidRPr="00333868">
        <w:rPr>
          <w:b/>
          <w:bCs/>
          <w:sz w:val="28"/>
          <w:szCs w:val="28"/>
        </w:rPr>
        <w:t>Table (</w:t>
      </w:r>
      <w:r>
        <w:rPr>
          <w:b/>
          <w:bCs/>
          <w:sz w:val="28"/>
          <w:szCs w:val="28"/>
        </w:rPr>
        <w:t>3</w:t>
      </w:r>
      <w:r w:rsidRPr="00333868">
        <w:rPr>
          <w:b/>
          <w:bCs/>
          <w:sz w:val="28"/>
          <w:szCs w:val="28"/>
        </w:rPr>
        <w:t xml:space="preserve">): </w:t>
      </w:r>
      <w:r>
        <w:rPr>
          <w:b/>
          <w:bCs/>
          <w:sz w:val="28"/>
          <w:szCs w:val="28"/>
        </w:rPr>
        <w:t>T score</w:t>
      </w:r>
      <w:r w:rsidRPr="00333868">
        <w:rPr>
          <w:b/>
          <w:bCs/>
          <w:sz w:val="28"/>
          <w:szCs w:val="28"/>
        </w:rPr>
        <w:t xml:space="preserve"> in study</w:t>
      </w:r>
      <w:r>
        <w:rPr>
          <w:b/>
          <w:bCs/>
          <w:sz w:val="28"/>
          <w:szCs w:val="28"/>
        </w:rPr>
        <w:t>&amp; control</w:t>
      </w:r>
      <w:r w:rsidRPr="00333868">
        <w:rPr>
          <w:b/>
          <w:bCs/>
          <w:sz w:val="28"/>
          <w:szCs w:val="28"/>
        </w:rPr>
        <w:t xml:space="preserve"> group</w:t>
      </w:r>
      <w:r>
        <w:rPr>
          <w:b/>
          <w:bCs/>
          <w:sz w:val="28"/>
          <w:szCs w:val="28"/>
        </w:rPr>
        <w:t>s.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67"/>
        <w:gridCol w:w="1951"/>
        <w:gridCol w:w="1989"/>
        <w:gridCol w:w="1449"/>
      </w:tblGrid>
      <w:tr w:rsidR="001265B4" w:rsidRPr="00731078" w:rsidTr="008462FC">
        <w:tc>
          <w:tcPr>
            <w:tcW w:w="3467" w:type="dxa"/>
          </w:tcPr>
          <w:p w:rsidR="001265B4" w:rsidRPr="00333868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T score</w:t>
            </w:r>
          </w:p>
        </w:tc>
        <w:tc>
          <w:tcPr>
            <w:tcW w:w="1951" w:type="dxa"/>
          </w:tcPr>
          <w:p w:rsidR="001265B4" w:rsidRPr="00333868" w:rsidRDefault="001265B4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33868">
              <w:rPr>
                <w:b/>
                <w:bCs/>
                <w:sz w:val="28"/>
                <w:szCs w:val="28"/>
              </w:rPr>
              <w:t>Study group “n=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333868">
              <w:rPr>
                <w:b/>
                <w:bCs/>
                <w:sz w:val="28"/>
                <w:szCs w:val="28"/>
              </w:rPr>
              <w:t>0”</w:t>
            </w:r>
          </w:p>
        </w:tc>
        <w:tc>
          <w:tcPr>
            <w:tcW w:w="1989" w:type="dxa"/>
          </w:tcPr>
          <w:p w:rsidR="001265B4" w:rsidRDefault="001265B4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Control group</w:t>
            </w:r>
          </w:p>
          <w:p w:rsidR="001265B4" w:rsidRPr="00333868" w:rsidRDefault="001265B4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“n=60”</w:t>
            </w:r>
          </w:p>
        </w:tc>
        <w:tc>
          <w:tcPr>
            <w:tcW w:w="1449" w:type="dxa"/>
          </w:tcPr>
          <w:p w:rsidR="001265B4" w:rsidRPr="00333868" w:rsidRDefault="001265B4" w:rsidP="008462F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P-value</w:t>
            </w:r>
          </w:p>
        </w:tc>
      </w:tr>
      <w:tr w:rsidR="001265B4" w:rsidRPr="00731078" w:rsidTr="008462FC">
        <w:tc>
          <w:tcPr>
            <w:tcW w:w="3467" w:type="dxa"/>
          </w:tcPr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1- Total lumber(L1-L4)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Normal</w:t>
            </w:r>
          </w:p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2- Neck of femur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Normal</w:t>
            </w:r>
          </w:p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3- Wards angle of femur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Normal</w:t>
            </w:r>
          </w:p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4- Trochanter of femur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Normal</w:t>
            </w:r>
          </w:p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5 - Total hip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Pr="00217863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b/>
                <w:bCs/>
                <w:sz w:val="28"/>
                <w:szCs w:val="28"/>
              </w:rPr>
            </w:pPr>
            <w:r w:rsidRPr="0013717E">
              <w:rPr>
                <w:sz w:val="28"/>
                <w:szCs w:val="28"/>
              </w:rPr>
              <w:t>Normal</w:t>
            </w:r>
          </w:p>
          <w:p w:rsidR="001265B4" w:rsidRPr="00380226" w:rsidRDefault="001265B4" w:rsidP="008462FC">
            <w:pPr>
              <w:pStyle w:val="ListParagraph"/>
              <w:spacing w:line="360" w:lineRule="auto"/>
              <w:ind w:left="360"/>
              <w:rPr>
                <w:b/>
                <w:bCs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7F452C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 xml:space="preserve"> Radius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lastRenderedPageBreak/>
              <w:t>Osteoporosis</w:t>
            </w:r>
          </w:p>
          <w:p w:rsidR="001265B4" w:rsidRPr="00C77636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C77636">
              <w:rPr>
                <w:sz w:val="28"/>
                <w:szCs w:val="28"/>
              </w:rPr>
              <w:t>Osteopenia</w:t>
            </w:r>
          </w:p>
          <w:p w:rsidR="001265B4" w:rsidRPr="0065614C" w:rsidRDefault="001265B4" w:rsidP="001265B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sz w:val="28"/>
                <w:szCs w:val="28"/>
              </w:rPr>
            </w:pPr>
            <w:r w:rsidRPr="0065614C">
              <w:rPr>
                <w:sz w:val="28"/>
                <w:szCs w:val="28"/>
              </w:rPr>
              <w:t>Normal</w:t>
            </w:r>
          </w:p>
        </w:tc>
        <w:tc>
          <w:tcPr>
            <w:tcW w:w="1951" w:type="dxa"/>
          </w:tcPr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-1.24±0.24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21(23.3%)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21(23.3%)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48(53.3%)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-0.353±0.31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3(3.3%)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21(23.3%)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66(73.3%)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0.70±0.36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12(13.3%)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30(33.3%)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48(53.3%)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-0.65±0.32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6(6.7%)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33(36.7%)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51(56.7%)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0.73±0.53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24(26.67%)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24(26.67%)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42(46.67%)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-0.78±0.41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18(20.0%)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12(13.3%)</w:t>
            </w:r>
          </w:p>
          <w:p w:rsidR="001265B4" w:rsidRPr="00B524E1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sz w:val="28"/>
                <w:szCs w:val="28"/>
              </w:rPr>
              <w:t>60(66.7%)</w:t>
            </w:r>
          </w:p>
        </w:tc>
        <w:tc>
          <w:tcPr>
            <w:tcW w:w="1989" w:type="dxa"/>
          </w:tcPr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-0.47±0.22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3(5.0%)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3(5.0%)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54 (90.0%)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0.675±0.17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60(100%)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0.69±0.21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60(100%)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0.52±0.15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60(100%)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0.25±0.02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60(100%)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0.89±0.30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6(10.0%)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54(90.0%)</w:t>
            </w:r>
          </w:p>
        </w:tc>
        <w:tc>
          <w:tcPr>
            <w:tcW w:w="1449" w:type="dxa"/>
          </w:tcPr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&lt;0.03*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&lt;0.01*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&lt;0.006**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&lt;0.007**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&lt;0.02*</w:t>
            </w: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  <w:p w:rsidR="001265B4" w:rsidRDefault="001265B4" w:rsidP="008462FC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&lt;0.005**</w:t>
            </w:r>
          </w:p>
        </w:tc>
      </w:tr>
    </w:tbl>
    <w:p w:rsidR="001265B4" w:rsidRPr="00013D9E" w:rsidRDefault="001265B4" w:rsidP="001265B4">
      <w:pPr>
        <w:spacing w:line="240" w:lineRule="auto"/>
        <w:rPr>
          <w:sz w:val="24"/>
          <w:szCs w:val="24"/>
        </w:rPr>
      </w:pPr>
      <w:r w:rsidRPr="00013D9E">
        <w:rPr>
          <w:sz w:val="24"/>
          <w:szCs w:val="24"/>
        </w:rPr>
        <w:t>Data are presented as mean±SD, range or number and percentage (%). Statistical significance is considered if (P&lt;0.05)</w:t>
      </w:r>
    </w:p>
    <w:p w:rsidR="001265B4" w:rsidRDefault="001265B4" w:rsidP="001265B4">
      <w:pPr>
        <w:rPr>
          <w:b/>
          <w:bCs/>
          <w:sz w:val="24"/>
          <w:szCs w:val="24"/>
        </w:rPr>
      </w:pPr>
    </w:p>
    <w:p w:rsidR="001265B4" w:rsidRPr="001265B4" w:rsidRDefault="001265B4" w:rsidP="00472CE5">
      <w:pPr>
        <w:rPr>
          <w:sz w:val="28"/>
          <w:szCs w:val="28"/>
        </w:rPr>
      </w:pPr>
    </w:p>
    <w:p w:rsidR="00472CE5" w:rsidRDefault="00472CE5" w:rsidP="00472CE5">
      <w:pPr>
        <w:rPr>
          <w:b/>
          <w:bCs/>
          <w:sz w:val="24"/>
          <w:szCs w:val="24"/>
        </w:rPr>
      </w:pPr>
    </w:p>
    <w:p w:rsidR="00EA7F4A" w:rsidRDefault="00EA7F4A"/>
    <w:sectPr w:rsidR="00EA7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slonPro-Regular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831EE"/>
    <w:multiLevelType w:val="hybridMultilevel"/>
    <w:tmpl w:val="6ED084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DE4A8C"/>
    <w:multiLevelType w:val="hybridMultilevel"/>
    <w:tmpl w:val="89D2C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9D"/>
    <w:rsid w:val="00092992"/>
    <w:rsid w:val="001265B4"/>
    <w:rsid w:val="00472CE5"/>
    <w:rsid w:val="00B47F9D"/>
    <w:rsid w:val="00EA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D058"/>
  <w15:chartTrackingRefBased/>
  <w15:docId w15:val="{8744E090-2005-4753-A5C7-DCB9ABCE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29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2CE5"/>
    <w:pPr>
      <w:spacing w:after="200" w:line="276" w:lineRule="auto"/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1265B4"/>
    <w:pPr>
      <w:spacing w:line="240" w:lineRule="auto"/>
    </w:pPr>
    <w:rPr>
      <w:rFonts w:ascii="Calibri" w:eastAsia="Times New Roman" w:hAnsi="Calibri" w:cs="Times New Roman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265B4"/>
    <w:rPr>
      <w:rFonts w:ascii="Calibri" w:eastAsia="Times New Roman" w:hAnsi="Calibri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samarhassanein2010@yahoo.com</dc:creator>
  <cp:keywords/>
  <dc:description/>
  <cp:lastModifiedBy>samarhassanein2010@yahoo.com</cp:lastModifiedBy>
  <cp:revision>3</cp:revision>
  <dcterms:created xsi:type="dcterms:W3CDTF">2019-08-06T15:37:00Z</dcterms:created>
  <dcterms:modified xsi:type="dcterms:W3CDTF">2019-08-06T15:51:00Z</dcterms:modified>
</cp:coreProperties>
</file>