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590" w:rsidRPr="00054590" w:rsidRDefault="00054590" w:rsidP="00054590">
      <w:pPr>
        <w:bidi w:val="0"/>
        <w:ind w:right="-1276"/>
        <w:rPr>
          <w:rFonts w:cstheme="majorBidi"/>
          <w:b/>
          <w:bCs/>
          <w:sz w:val="28"/>
          <w:szCs w:val="28"/>
          <w:vertAlign w:val="superscript"/>
        </w:rPr>
      </w:pPr>
      <w:r w:rsidRPr="00054590">
        <w:rPr>
          <w:rFonts w:eastAsia="Times New Roman" w:cstheme="majorBidi"/>
          <w:b/>
          <w:bCs/>
          <w:sz w:val="28"/>
          <w:szCs w:val="28"/>
        </w:rPr>
        <w:t xml:space="preserve">Methotrexate in Rheumatoid Arthritis patients: common side effects and leading cause of discontinuation.   </w:t>
      </w:r>
    </w:p>
    <w:p w:rsidR="00054590" w:rsidRDefault="00054590" w:rsidP="00C1165C">
      <w:pPr>
        <w:pStyle w:val="a3"/>
        <w:bidi w:val="0"/>
        <w:jc w:val="both"/>
        <w:rPr>
          <w:b/>
          <w:bCs/>
          <w:sz w:val="24"/>
          <w:szCs w:val="24"/>
        </w:rPr>
      </w:pPr>
    </w:p>
    <w:p w:rsidR="00A439D6" w:rsidRPr="00A27BFF" w:rsidRDefault="00A439D6" w:rsidP="00A439D6">
      <w:pPr>
        <w:bidi w:val="0"/>
        <w:spacing w:after="0" w:line="240" w:lineRule="auto"/>
        <w:jc w:val="both"/>
      </w:pPr>
      <w:r w:rsidRPr="00A27BFF">
        <w:rPr>
          <w:b/>
          <w:bCs/>
          <w:sz w:val="24"/>
          <w:szCs w:val="24"/>
        </w:rPr>
        <w:t>Abstract</w:t>
      </w:r>
    </w:p>
    <w:p w:rsidR="00A439D6" w:rsidRPr="00A27BFF" w:rsidRDefault="00A439D6" w:rsidP="00A439D6">
      <w:pPr>
        <w:bidi w:val="0"/>
        <w:spacing w:after="0" w:line="240" w:lineRule="auto"/>
        <w:jc w:val="both"/>
      </w:pPr>
    </w:p>
    <w:p w:rsidR="00A439D6" w:rsidRPr="00A27BFF" w:rsidRDefault="00A439D6" w:rsidP="00A439D6">
      <w:pPr>
        <w:bidi w:val="0"/>
        <w:spacing w:after="0" w:line="240" w:lineRule="auto"/>
        <w:jc w:val="both"/>
      </w:pPr>
      <w:r w:rsidRPr="00A27BFF">
        <w:rPr>
          <w:b/>
          <w:bCs/>
          <w:sz w:val="24"/>
          <w:szCs w:val="24"/>
        </w:rPr>
        <w:t xml:space="preserve">Objectives: </w:t>
      </w:r>
      <w:r w:rsidRPr="00C1165C">
        <w:rPr>
          <w:sz w:val="24"/>
          <w:szCs w:val="24"/>
        </w:rPr>
        <w:t>The study aim</w:t>
      </w:r>
      <w:r>
        <w:rPr>
          <w:sz w:val="24"/>
          <w:szCs w:val="24"/>
        </w:rPr>
        <w:t>s</w:t>
      </w:r>
      <w:r w:rsidRPr="00C1165C">
        <w:rPr>
          <w:sz w:val="24"/>
          <w:szCs w:val="24"/>
        </w:rPr>
        <w:t xml:space="preserve"> to evaluate frequency and to identify factors which may increase the </w:t>
      </w:r>
      <w:r>
        <w:rPr>
          <w:sz w:val="24"/>
          <w:szCs w:val="24"/>
        </w:rPr>
        <w:t xml:space="preserve">discontinuation </w:t>
      </w:r>
      <w:r w:rsidRPr="00C1165C">
        <w:rPr>
          <w:sz w:val="24"/>
          <w:szCs w:val="24"/>
        </w:rPr>
        <w:t xml:space="preserve">of </w:t>
      </w:r>
      <w:r w:rsidR="004F2643" w:rsidRPr="00C1165C">
        <w:rPr>
          <w:sz w:val="24"/>
          <w:szCs w:val="24"/>
        </w:rPr>
        <w:t xml:space="preserve">Methotrexate </w:t>
      </w:r>
      <w:r w:rsidR="004F2643">
        <w:rPr>
          <w:sz w:val="24"/>
          <w:szCs w:val="24"/>
        </w:rPr>
        <w:t>(</w:t>
      </w:r>
      <w:r>
        <w:rPr>
          <w:sz w:val="24"/>
          <w:szCs w:val="24"/>
        </w:rPr>
        <w:t>MTX</w:t>
      </w:r>
      <w:r w:rsidR="004F2643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C1165C">
        <w:rPr>
          <w:sz w:val="24"/>
          <w:szCs w:val="24"/>
        </w:rPr>
        <w:t>among our Rheumatoid arthritis (RA)</w:t>
      </w:r>
      <w:r>
        <w:rPr>
          <w:sz w:val="24"/>
          <w:szCs w:val="24"/>
        </w:rPr>
        <w:t xml:space="preserve"> </w:t>
      </w:r>
      <w:r w:rsidRPr="00C1165C">
        <w:rPr>
          <w:sz w:val="24"/>
          <w:szCs w:val="24"/>
        </w:rPr>
        <w:t>patients in Asir region, KSA</w:t>
      </w:r>
      <w:r w:rsidR="00593F9C">
        <w:t>.</w:t>
      </w:r>
    </w:p>
    <w:p w:rsidR="00A439D6" w:rsidRPr="00A27BFF" w:rsidRDefault="00A439D6" w:rsidP="00A439D6">
      <w:pPr>
        <w:bidi w:val="0"/>
        <w:spacing w:after="0" w:line="240" w:lineRule="auto"/>
        <w:jc w:val="both"/>
      </w:pPr>
    </w:p>
    <w:p w:rsidR="00A439D6" w:rsidRPr="00C1165C" w:rsidRDefault="00A439D6" w:rsidP="00A439D6">
      <w:pPr>
        <w:bidi w:val="0"/>
        <w:spacing w:after="0" w:line="240" w:lineRule="auto"/>
        <w:jc w:val="both"/>
        <w:rPr>
          <w:sz w:val="24"/>
          <w:szCs w:val="24"/>
        </w:rPr>
      </w:pPr>
      <w:r w:rsidRPr="00A27BFF">
        <w:rPr>
          <w:b/>
          <w:bCs/>
          <w:sz w:val="24"/>
          <w:szCs w:val="24"/>
        </w:rPr>
        <w:t xml:space="preserve">Methods: </w:t>
      </w:r>
      <w:r w:rsidRPr="00A27BFF">
        <w:rPr>
          <w:sz w:val="24"/>
          <w:szCs w:val="24"/>
        </w:rPr>
        <w:t>A</w:t>
      </w:r>
      <w:r w:rsidRPr="00C1165C">
        <w:rPr>
          <w:sz w:val="24"/>
          <w:szCs w:val="24"/>
        </w:rPr>
        <w:t xml:space="preserve">cross sectional study </w:t>
      </w:r>
      <w:r>
        <w:rPr>
          <w:sz w:val="24"/>
          <w:szCs w:val="24"/>
        </w:rPr>
        <w:t xml:space="preserve">was conducted in </w:t>
      </w:r>
      <w:r w:rsidRPr="00C1165C">
        <w:rPr>
          <w:sz w:val="24"/>
          <w:szCs w:val="24"/>
        </w:rPr>
        <w:t xml:space="preserve">Aseer central hospital, southern region, Saudi Arabia that are currently or previously were used MTX. </w:t>
      </w:r>
      <w:r>
        <w:rPr>
          <w:sz w:val="24"/>
          <w:szCs w:val="24"/>
        </w:rPr>
        <w:t xml:space="preserve"> </w:t>
      </w:r>
      <w:r w:rsidRPr="00C1165C">
        <w:rPr>
          <w:sz w:val="24"/>
          <w:szCs w:val="24"/>
        </w:rPr>
        <w:t>All the patients included fulfilled the 1987 revised American Rheumatism Association criteria for classification of RA</w:t>
      </w:r>
      <w:r>
        <w:rPr>
          <w:sz w:val="24"/>
          <w:szCs w:val="24"/>
        </w:rPr>
        <w:t>.</w:t>
      </w:r>
      <w:r w:rsidRPr="00C1165C">
        <w:rPr>
          <w:sz w:val="24"/>
          <w:szCs w:val="24"/>
        </w:rPr>
        <w:t xml:space="preserve"> Medical records for 200 RA patients were chosen through convenience method then they reviewed and analyzed</w:t>
      </w:r>
      <w:r>
        <w:rPr>
          <w:sz w:val="24"/>
          <w:szCs w:val="24"/>
        </w:rPr>
        <w:t>.</w:t>
      </w:r>
    </w:p>
    <w:p w:rsidR="00A439D6" w:rsidRPr="00A27BFF" w:rsidRDefault="00A439D6" w:rsidP="00A439D6">
      <w:pPr>
        <w:bidi w:val="0"/>
        <w:spacing w:after="0" w:line="240" w:lineRule="auto"/>
        <w:jc w:val="both"/>
      </w:pPr>
    </w:p>
    <w:p w:rsidR="00D8189B" w:rsidRPr="00C1165C" w:rsidRDefault="00A439D6" w:rsidP="009A6CF8">
      <w:pPr>
        <w:autoSpaceDE w:val="0"/>
        <w:autoSpaceDN w:val="0"/>
        <w:bidi w:val="0"/>
        <w:adjustRightInd w:val="0"/>
        <w:spacing w:after="0" w:line="240" w:lineRule="auto"/>
        <w:jc w:val="both"/>
        <w:rPr>
          <w:sz w:val="24"/>
          <w:szCs w:val="24"/>
        </w:rPr>
      </w:pPr>
      <w:r w:rsidRPr="00A27BFF">
        <w:rPr>
          <w:b/>
          <w:bCs/>
          <w:sz w:val="24"/>
          <w:szCs w:val="24"/>
        </w:rPr>
        <w:t xml:space="preserve">Results: </w:t>
      </w:r>
      <w:r w:rsidRPr="00A27BFF">
        <w:rPr>
          <w:sz w:val="24"/>
          <w:szCs w:val="24"/>
        </w:rPr>
        <w:t xml:space="preserve">A total of </w:t>
      </w:r>
      <w:r w:rsidR="004F2643">
        <w:rPr>
          <w:sz w:val="24"/>
          <w:szCs w:val="24"/>
        </w:rPr>
        <w:t xml:space="preserve">200 </w:t>
      </w:r>
      <w:r w:rsidR="009A6CF8">
        <w:rPr>
          <w:sz w:val="24"/>
          <w:szCs w:val="24"/>
        </w:rPr>
        <w:t>RA</w:t>
      </w:r>
      <w:r w:rsidR="004F2643">
        <w:rPr>
          <w:sz w:val="24"/>
          <w:szCs w:val="24"/>
        </w:rPr>
        <w:t xml:space="preserve"> patients were </w:t>
      </w:r>
      <w:r w:rsidRPr="00A27BFF">
        <w:rPr>
          <w:sz w:val="24"/>
          <w:szCs w:val="24"/>
        </w:rPr>
        <w:t xml:space="preserve">participated, </w:t>
      </w:r>
      <w:r w:rsidR="004F2643">
        <w:rPr>
          <w:sz w:val="24"/>
          <w:szCs w:val="24"/>
        </w:rPr>
        <w:t>169</w:t>
      </w:r>
      <w:r w:rsidRPr="00A27BFF">
        <w:rPr>
          <w:sz w:val="24"/>
          <w:szCs w:val="24"/>
        </w:rPr>
        <w:t xml:space="preserve"> (</w:t>
      </w:r>
      <w:r w:rsidR="004F2643">
        <w:rPr>
          <w:sz w:val="24"/>
          <w:szCs w:val="24"/>
        </w:rPr>
        <w:t>84.5</w:t>
      </w:r>
      <w:r w:rsidRPr="00A27BFF">
        <w:rPr>
          <w:sz w:val="24"/>
          <w:szCs w:val="24"/>
        </w:rPr>
        <w:t xml:space="preserve">%) were </w:t>
      </w:r>
      <w:r w:rsidR="004F2643">
        <w:rPr>
          <w:sz w:val="24"/>
          <w:szCs w:val="24"/>
        </w:rPr>
        <w:t>fe</w:t>
      </w:r>
      <w:r w:rsidRPr="00A27BFF">
        <w:rPr>
          <w:sz w:val="24"/>
          <w:szCs w:val="24"/>
        </w:rPr>
        <w:t xml:space="preserve">male and </w:t>
      </w:r>
      <w:r w:rsidR="004F2643">
        <w:rPr>
          <w:sz w:val="24"/>
          <w:szCs w:val="24"/>
        </w:rPr>
        <w:t>31</w:t>
      </w:r>
      <w:r w:rsidRPr="00A27BFF">
        <w:rPr>
          <w:sz w:val="24"/>
          <w:szCs w:val="24"/>
        </w:rPr>
        <w:t xml:space="preserve"> (</w:t>
      </w:r>
      <w:r w:rsidR="004F2643">
        <w:rPr>
          <w:sz w:val="24"/>
          <w:szCs w:val="24"/>
        </w:rPr>
        <w:t>15.5</w:t>
      </w:r>
      <w:r w:rsidRPr="00A27BFF">
        <w:rPr>
          <w:sz w:val="24"/>
          <w:szCs w:val="24"/>
        </w:rPr>
        <w:t>%) were female. Their</w:t>
      </w:r>
      <w:r w:rsidR="00BA22FA">
        <w:rPr>
          <w:sz w:val="24"/>
          <w:szCs w:val="24"/>
        </w:rPr>
        <w:t xml:space="preserve"> ages </w:t>
      </w:r>
      <w:r w:rsidR="004F2643" w:rsidRPr="00C1165C">
        <w:rPr>
          <w:rFonts w:eastAsia="AdvTimes" w:cs="AdvTimes"/>
          <w:color w:val="000000"/>
          <w:sz w:val="24"/>
          <w:szCs w:val="24"/>
        </w:rPr>
        <w:t>ranged from 12 to 80 years with a mean of 45.07and standard deviation 14.37 years.</w:t>
      </w:r>
      <w:r w:rsidR="004F2643">
        <w:rPr>
          <w:sz w:val="24"/>
          <w:szCs w:val="24"/>
        </w:rPr>
        <w:t xml:space="preserve"> </w:t>
      </w:r>
      <w:r w:rsidR="004F2643" w:rsidRPr="00C1165C">
        <w:rPr>
          <w:rFonts w:eastAsia="AdvTimes" w:cs="AdvTimes"/>
          <w:color w:val="000000"/>
          <w:sz w:val="24"/>
          <w:szCs w:val="24"/>
        </w:rPr>
        <w:t>67 (33.5</w:t>
      </w:r>
      <w:r w:rsidR="00BA22FA">
        <w:rPr>
          <w:rFonts w:eastAsia="AdvTimes" w:cs="AdvTimes"/>
          <w:color w:val="000000"/>
          <w:sz w:val="24"/>
          <w:szCs w:val="24"/>
        </w:rPr>
        <w:t>%</w:t>
      </w:r>
      <w:r w:rsidR="004F2643" w:rsidRPr="00C1165C">
        <w:rPr>
          <w:rFonts w:eastAsia="AdvTimes" w:cs="AdvTimes"/>
          <w:color w:val="000000"/>
          <w:sz w:val="24"/>
          <w:szCs w:val="24"/>
        </w:rPr>
        <w:t>) of patients their disease duration was 10</w:t>
      </w:r>
      <w:r w:rsidR="00BA22FA">
        <w:rPr>
          <w:rFonts w:eastAsia="AdvTimes" w:cs="AdvTimes"/>
          <w:color w:val="000000"/>
          <w:sz w:val="24"/>
          <w:szCs w:val="24"/>
        </w:rPr>
        <w:t xml:space="preserve"> years</w:t>
      </w:r>
      <w:r w:rsidR="004F2643" w:rsidRPr="00C1165C">
        <w:rPr>
          <w:rFonts w:eastAsia="AdvTimes" w:cs="AdvTimes"/>
          <w:color w:val="000000"/>
          <w:sz w:val="24"/>
          <w:szCs w:val="24"/>
        </w:rPr>
        <w:t xml:space="preserve"> and more.  147 (73.5%) of our patients were using </w:t>
      </w:r>
      <w:r w:rsidR="00BA22FA">
        <w:rPr>
          <w:rFonts w:eastAsia="AdvTimes" w:cs="AdvTimes"/>
          <w:color w:val="000000"/>
          <w:sz w:val="24"/>
          <w:szCs w:val="24"/>
        </w:rPr>
        <w:t>MTX</w:t>
      </w:r>
      <w:r w:rsidR="004F2643" w:rsidRPr="00C1165C">
        <w:rPr>
          <w:rFonts w:eastAsia="AdvTimes" w:cs="AdvTimes"/>
          <w:color w:val="000000"/>
          <w:sz w:val="24"/>
          <w:szCs w:val="24"/>
        </w:rPr>
        <w:t xml:space="preserve"> and 53 (26.5%) were</w:t>
      </w:r>
      <w:r w:rsidR="00BA22FA">
        <w:rPr>
          <w:rFonts w:eastAsia="AdvTimes" w:cs="AdvTimes"/>
          <w:color w:val="000000"/>
          <w:sz w:val="24"/>
          <w:szCs w:val="24"/>
        </w:rPr>
        <w:t xml:space="preserve"> not</w:t>
      </w:r>
      <w:r w:rsidR="004F2643" w:rsidRPr="00C1165C">
        <w:rPr>
          <w:rFonts w:eastAsia="AdvTimes" w:cs="AdvTimes"/>
          <w:color w:val="000000"/>
          <w:sz w:val="24"/>
          <w:szCs w:val="24"/>
        </w:rPr>
        <w:t xml:space="preserve">. </w:t>
      </w:r>
      <w:r w:rsidR="00D8189B" w:rsidRPr="00C1165C">
        <w:rPr>
          <w:sz w:val="24"/>
          <w:szCs w:val="24"/>
        </w:rPr>
        <w:t xml:space="preserve">Out of 147 patients; 24 (27%) of them didn't take MTX regularly because </w:t>
      </w:r>
      <w:r w:rsidR="00D8189B">
        <w:rPr>
          <w:sz w:val="24"/>
          <w:szCs w:val="24"/>
        </w:rPr>
        <w:t xml:space="preserve">due to </w:t>
      </w:r>
      <w:r w:rsidR="00D8189B" w:rsidRPr="00C1165C">
        <w:rPr>
          <w:sz w:val="24"/>
          <w:szCs w:val="24"/>
        </w:rPr>
        <w:t>different causes</w:t>
      </w:r>
      <w:r w:rsidR="00D8189B">
        <w:rPr>
          <w:sz w:val="24"/>
          <w:szCs w:val="24"/>
        </w:rPr>
        <w:t xml:space="preserve">. The most common side effects </w:t>
      </w:r>
      <w:r w:rsidR="007F7DF3">
        <w:rPr>
          <w:sz w:val="24"/>
          <w:szCs w:val="24"/>
        </w:rPr>
        <w:t xml:space="preserve">were </w:t>
      </w:r>
      <w:r w:rsidR="007F7DF3" w:rsidRPr="00C1165C">
        <w:rPr>
          <w:sz w:val="24"/>
          <w:szCs w:val="24"/>
        </w:rPr>
        <w:t>stomach ache</w:t>
      </w:r>
      <w:r w:rsidR="007F7DF3">
        <w:rPr>
          <w:sz w:val="24"/>
          <w:szCs w:val="24"/>
        </w:rPr>
        <w:t xml:space="preserve"> as same as </w:t>
      </w:r>
      <w:r w:rsidR="007F7DF3" w:rsidRPr="00C1165C">
        <w:rPr>
          <w:sz w:val="24"/>
          <w:szCs w:val="24"/>
        </w:rPr>
        <w:t>indolence and sloth</w:t>
      </w:r>
      <w:r w:rsidR="007F7DF3">
        <w:rPr>
          <w:sz w:val="24"/>
          <w:szCs w:val="24"/>
        </w:rPr>
        <w:t xml:space="preserve">. There is no statistical association between sex, education level and duration of disease and discontinuation at p=0.05.   </w:t>
      </w:r>
    </w:p>
    <w:p w:rsidR="004F2643" w:rsidRDefault="00A439D6" w:rsidP="00BA22FA">
      <w:pPr>
        <w:bidi w:val="0"/>
        <w:spacing w:after="0" w:line="240" w:lineRule="auto"/>
        <w:jc w:val="both"/>
        <w:rPr>
          <w:sz w:val="24"/>
          <w:szCs w:val="24"/>
        </w:rPr>
      </w:pPr>
      <w:r w:rsidRPr="00A27BFF">
        <w:rPr>
          <w:sz w:val="24"/>
          <w:szCs w:val="24"/>
        </w:rPr>
        <w:t xml:space="preserve"> </w:t>
      </w:r>
    </w:p>
    <w:p w:rsidR="00240FF3" w:rsidRDefault="00A439D6" w:rsidP="00240FF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eastAsia="AdvTimes" w:cs="AdvTimes"/>
          <w:color w:val="000000"/>
          <w:sz w:val="24"/>
          <w:szCs w:val="24"/>
        </w:rPr>
      </w:pPr>
      <w:r w:rsidRPr="00A27BFF">
        <w:rPr>
          <w:b/>
          <w:bCs/>
          <w:sz w:val="24"/>
          <w:szCs w:val="24"/>
        </w:rPr>
        <w:t xml:space="preserve">Conclusion: </w:t>
      </w:r>
      <w:r w:rsidR="00240FF3">
        <w:rPr>
          <w:rFonts w:cs="Times New Roman"/>
          <w:sz w:val="24"/>
          <w:szCs w:val="24"/>
        </w:rPr>
        <w:t>the study concluded a</w:t>
      </w:r>
      <w:r w:rsidR="009A6CF8">
        <w:rPr>
          <w:rFonts w:cs="Times New Roman"/>
          <w:sz w:val="24"/>
          <w:szCs w:val="24"/>
        </w:rPr>
        <w:t xml:space="preserve"> </w:t>
      </w:r>
      <w:bookmarkStart w:id="0" w:name="_GoBack"/>
      <w:bookmarkEnd w:id="0"/>
      <w:r w:rsidR="00240FF3" w:rsidRPr="00C1165C">
        <w:rPr>
          <w:rFonts w:cs="Times New Roman"/>
          <w:sz w:val="24"/>
          <w:szCs w:val="24"/>
        </w:rPr>
        <w:t>low rate of drug discontinuation due to adverse effects, MTX seems to be a safe drug for long-term use in RA patients</w:t>
      </w:r>
      <w:r w:rsidR="00240FF3" w:rsidRPr="00C1165C">
        <w:rPr>
          <w:rFonts w:eastAsia="AdvTimes" w:cs="AdvTimes"/>
          <w:color w:val="000000"/>
          <w:sz w:val="24"/>
          <w:szCs w:val="24"/>
        </w:rPr>
        <w:t xml:space="preserve">. </w:t>
      </w:r>
      <w:r w:rsidR="00240FF3" w:rsidRPr="00C1165C">
        <w:rPr>
          <w:rFonts w:cs="Times New Roman"/>
          <w:sz w:val="24"/>
          <w:szCs w:val="24"/>
        </w:rPr>
        <w:t>More attempts should be done to minimize side effects and discontinuation of MTX, in order to get the benefits of drug considered as the cornerstone in RA treatment.</w:t>
      </w:r>
    </w:p>
    <w:p w:rsidR="00240FF3" w:rsidRDefault="00240FF3" w:rsidP="004F2643">
      <w:pPr>
        <w:bidi w:val="0"/>
        <w:spacing w:after="0" w:line="240" w:lineRule="auto"/>
        <w:jc w:val="both"/>
        <w:rPr>
          <w:sz w:val="24"/>
          <w:szCs w:val="24"/>
        </w:rPr>
      </w:pPr>
    </w:p>
    <w:p w:rsidR="001850AD" w:rsidRPr="00F752AF" w:rsidRDefault="001850AD" w:rsidP="001850A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eastAsia="AdvTimes" w:cs="AdvTimes"/>
          <w:b/>
          <w:bCs/>
          <w:color w:val="000000"/>
          <w:sz w:val="24"/>
          <w:szCs w:val="24"/>
        </w:rPr>
      </w:pPr>
    </w:p>
    <w:sectPr w:rsidR="001850AD" w:rsidRPr="00F752AF" w:rsidSect="00EC04B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E90" w:rsidRDefault="00F63E90" w:rsidP="004E1009">
      <w:pPr>
        <w:spacing w:after="0" w:line="240" w:lineRule="auto"/>
      </w:pPr>
      <w:r>
        <w:separator/>
      </w:r>
    </w:p>
  </w:endnote>
  <w:endnote w:type="continuationSeparator" w:id="0">
    <w:p w:rsidR="00F63E90" w:rsidRDefault="00F63E90" w:rsidP="004E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dvTime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E90" w:rsidRDefault="00F63E90" w:rsidP="004E1009">
      <w:pPr>
        <w:spacing w:after="0" w:line="240" w:lineRule="auto"/>
      </w:pPr>
      <w:r>
        <w:separator/>
      </w:r>
    </w:p>
  </w:footnote>
  <w:footnote w:type="continuationSeparator" w:id="0">
    <w:p w:rsidR="00F63E90" w:rsidRDefault="00F63E90" w:rsidP="004E1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0A1C"/>
    <w:multiLevelType w:val="hybridMultilevel"/>
    <w:tmpl w:val="F738E044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>
    <w:nsid w:val="203B3CF4"/>
    <w:multiLevelType w:val="hybridMultilevel"/>
    <w:tmpl w:val="35AEE168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>
    <w:nsid w:val="6EEE61B4"/>
    <w:multiLevelType w:val="hybridMultilevel"/>
    <w:tmpl w:val="48960E00"/>
    <w:lvl w:ilvl="0" w:tplc="AC04AFAE">
      <w:start w:val="1"/>
      <w:numFmt w:val="decimal"/>
      <w:lvlText w:val="%1-"/>
      <w:lvlJc w:val="left"/>
      <w:pPr>
        <w:ind w:left="720" w:hanging="360"/>
      </w:pPr>
      <w:rPr>
        <w:rFonts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64"/>
    <w:rsid w:val="00041393"/>
    <w:rsid w:val="00054590"/>
    <w:rsid w:val="000A0D1E"/>
    <w:rsid w:val="00137BBC"/>
    <w:rsid w:val="00142F17"/>
    <w:rsid w:val="001710B9"/>
    <w:rsid w:val="001850AD"/>
    <w:rsid w:val="0018736B"/>
    <w:rsid w:val="001A710D"/>
    <w:rsid w:val="001F7B6A"/>
    <w:rsid w:val="00240FF3"/>
    <w:rsid w:val="00260C0B"/>
    <w:rsid w:val="002B2172"/>
    <w:rsid w:val="002B30EE"/>
    <w:rsid w:val="002C1897"/>
    <w:rsid w:val="002C2501"/>
    <w:rsid w:val="002E53E7"/>
    <w:rsid w:val="00303443"/>
    <w:rsid w:val="003172DF"/>
    <w:rsid w:val="00325FDB"/>
    <w:rsid w:val="0035783B"/>
    <w:rsid w:val="0038665B"/>
    <w:rsid w:val="003C3AD6"/>
    <w:rsid w:val="003E6726"/>
    <w:rsid w:val="00425F94"/>
    <w:rsid w:val="00455D75"/>
    <w:rsid w:val="004A6CAC"/>
    <w:rsid w:val="004D1982"/>
    <w:rsid w:val="004E1009"/>
    <w:rsid w:val="004F2643"/>
    <w:rsid w:val="0051793C"/>
    <w:rsid w:val="00517DA3"/>
    <w:rsid w:val="00536FBE"/>
    <w:rsid w:val="00542A98"/>
    <w:rsid w:val="0057148C"/>
    <w:rsid w:val="00573191"/>
    <w:rsid w:val="00593F9C"/>
    <w:rsid w:val="005C25CF"/>
    <w:rsid w:val="00615C1C"/>
    <w:rsid w:val="00617CC4"/>
    <w:rsid w:val="0064376C"/>
    <w:rsid w:val="006B72B5"/>
    <w:rsid w:val="006D29B1"/>
    <w:rsid w:val="00711C62"/>
    <w:rsid w:val="00732D04"/>
    <w:rsid w:val="00735F40"/>
    <w:rsid w:val="00792471"/>
    <w:rsid w:val="007C4450"/>
    <w:rsid w:val="007D129E"/>
    <w:rsid w:val="007F7DF3"/>
    <w:rsid w:val="0082407A"/>
    <w:rsid w:val="00832304"/>
    <w:rsid w:val="008367B4"/>
    <w:rsid w:val="0084084F"/>
    <w:rsid w:val="00856864"/>
    <w:rsid w:val="008A0440"/>
    <w:rsid w:val="009039F3"/>
    <w:rsid w:val="00910D39"/>
    <w:rsid w:val="009229E0"/>
    <w:rsid w:val="00925C9C"/>
    <w:rsid w:val="00981442"/>
    <w:rsid w:val="00995DD6"/>
    <w:rsid w:val="009A6CF8"/>
    <w:rsid w:val="009C3E36"/>
    <w:rsid w:val="009F72FA"/>
    <w:rsid w:val="00A144F3"/>
    <w:rsid w:val="00A37769"/>
    <w:rsid w:val="00A439D6"/>
    <w:rsid w:val="00A74F52"/>
    <w:rsid w:val="00A84860"/>
    <w:rsid w:val="00AC4ED0"/>
    <w:rsid w:val="00AC56C5"/>
    <w:rsid w:val="00B67B71"/>
    <w:rsid w:val="00B72E73"/>
    <w:rsid w:val="00B768F7"/>
    <w:rsid w:val="00BA22FA"/>
    <w:rsid w:val="00BB0B44"/>
    <w:rsid w:val="00BB285F"/>
    <w:rsid w:val="00BC6D9F"/>
    <w:rsid w:val="00C1165C"/>
    <w:rsid w:val="00C12C3C"/>
    <w:rsid w:val="00C2069E"/>
    <w:rsid w:val="00C57A14"/>
    <w:rsid w:val="00C711C7"/>
    <w:rsid w:val="00CA1C6E"/>
    <w:rsid w:val="00CA498B"/>
    <w:rsid w:val="00CC313E"/>
    <w:rsid w:val="00CC61A4"/>
    <w:rsid w:val="00CD3A64"/>
    <w:rsid w:val="00D7445A"/>
    <w:rsid w:val="00D8189B"/>
    <w:rsid w:val="00DA0692"/>
    <w:rsid w:val="00DC2D4F"/>
    <w:rsid w:val="00E468B3"/>
    <w:rsid w:val="00E643FD"/>
    <w:rsid w:val="00E650C0"/>
    <w:rsid w:val="00E65147"/>
    <w:rsid w:val="00E86566"/>
    <w:rsid w:val="00E97BB1"/>
    <w:rsid w:val="00EC04B7"/>
    <w:rsid w:val="00ED7BF3"/>
    <w:rsid w:val="00EF24ED"/>
    <w:rsid w:val="00EF7DB4"/>
    <w:rsid w:val="00F16378"/>
    <w:rsid w:val="00F367F5"/>
    <w:rsid w:val="00F63E90"/>
    <w:rsid w:val="00F752AF"/>
    <w:rsid w:val="00FB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29E"/>
    <w:pPr>
      <w:bidi/>
      <w:spacing w:after="0" w:line="240" w:lineRule="auto"/>
    </w:pPr>
  </w:style>
  <w:style w:type="table" w:customStyle="1" w:styleId="TableNormal">
    <w:name w:val="Table Normal"/>
    <w:rsid w:val="007D12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11">
    <w:name w:val="Pa11"/>
    <w:next w:val="a"/>
    <w:rsid w:val="007D129E"/>
    <w:pPr>
      <w:pBdr>
        <w:top w:val="nil"/>
        <w:left w:val="nil"/>
        <w:bottom w:val="nil"/>
        <w:right w:val="nil"/>
        <w:between w:val="nil"/>
        <w:bar w:val="nil"/>
      </w:pBdr>
      <w:spacing w:after="0" w:line="161" w:lineRule="atLeast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a4">
    <w:name w:val="Balloon Text"/>
    <w:basedOn w:val="a"/>
    <w:link w:val="Char"/>
    <w:uiPriority w:val="99"/>
    <w:semiHidden/>
    <w:unhideWhenUsed/>
    <w:rsid w:val="002E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2E53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4E10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4E1009"/>
  </w:style>
  <w:style w:type="paragraph" w:styleId="a6">
    <w:name w:val="footer"/>
    <w:basedOn w:val="a"/>
    <w:link w:val="Char1"/>
    <w:uiPriority w:val="99"/>
    <w:unhideWhenUsed/>
    <w:rsid w:val="004E10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4E1009"/>
  </w:style>
  <w:style w:type="character" w:customStyle="1" w:styleId="apple-converted-space">
    <w:name w:val="apple-converted-space"/>
    <w:basedOn w:val="a0"/>
    <w:rsid w:val="00F752AF"/>
  </w:style>
  <w:style w:type="paragraph" w:styleId="a7">
    <w:name w:val="List Paragraph"/>
    <w:basedOn w:val="a"/>
    <w:uiPriority w:val="34"/>
    <w:qFormat/>
    <w:rsid w:val="00F75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29E"/>
    <w:pPr>
      <w:bidi/>
      <w:spacing w:after="0" w:line="240" w:lineRule="auto"/>
    </w:pPr>
  </w:style>
  <w:style w:type="table" w:customStyle="1" w:styleId="TableNormal">
    <w:name w:val="Table Normal"/>
    <w:rsid w:val="007D12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11">
    <w:name w:val="Pa11"/>
    <w:next w:val="a"/>
    <w:rsid w:val="007D129E"/>
    <w:pPr>
      <w:pBdr>
        <w:top w:val="nil"/>
        <w:left w:val="nil"/>
        <w:bottom w:val="nil"/>
        <w:right w:val="nil"/>
        <w:between w:val="nil"/>
        <w:bar w:val="nil"/>
      </w:pBdr>
      <w:spacing w:after="0" w:line="161" w:lineRule="atLeast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a4">
    <w:name w:val="Balloon Text"/>
    <w:basedOn w:val="a"/>
    <w:link w:val="Char"/>
    <w:uiPriority w:val="99"/>
    <w:semiHidden/>
    <w:unhideWhenUsed/>
    <w:rsid w:val="002E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2E53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4E10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4E1009"/>
  </w:style>
  <w:style w:type="paragraph" w:styleId="a6">
    <w:name w:val="footer"/>
    <w:basedOn w:val="a"/>
    <w:link w:val="Char1"/>
    <w:uiPriority w:val="99"/>
    <w:unhideWhenUsed/>
    <w:rsid w:val="004E10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4E1009"/>
  </w:style>
  <w:style w:type="character" w:customStyle="1" w:styleId="apple-converted-space">
    <w:name w:val="apple-converted-space"/>
    <w:basedOn w:val="a0"/>
    <w:rsid w:val="00F752AF"/>
  </w:style>
  <w:style w:type="paragraph" w:styleId="a7">
    <w:name w:val="List Paragraph"/>
    <w:basedOn w:val="a"/>
    <w:uiPriority w:val="34"/>
    <w:qFormat/>
    <w:rsid w:val="00F75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SAMAYA LK</cp:lastModifiedBy>
  <cp:revision>5</cp:revision>
  <dcterms:created xsi:type="dcterms:W3CDTF">2017-03-21T09:19:00Z</dcterms:created>
  <dcterms:modified xsi:type="dcterms:W3CDTF">2017-08-25T01:23:00Z</dcterms:modified>
</cp:coreProperties>
</file>