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C9D" w:rsidRDefault="00AA5C9D" w:rsidP="00AA5C9D">
      <w:pPr>
        <w:rPr>
          <w:b/>
        </w:rPr>
      </w:pPr>
      <w:r>
        <w:rPr>
          <w:b/>
        </w:rPr>
        <w:t xml:space="preserve">MSK ultrasound, a diagnostic tool for Eosinophilic fasciitis </w:t>
      </w:r>
    </w:p>
    <w:p w:rsidR="00AA5C9D" w:rsidRDefault="00AA5C9D" w:rsidP="00AA5C9D">
      <w:pPr>
        <w:rPr>
          <w:b/>
        </w:rPr>
      </w:pPr>
    </w:p>
    <w:p w:rsidR="00AA5C9D" w:rsidRDefault="00AA5C9D" w:rsidP="00AA5C9D">
      <w:r>
        <w:rPr>
          <w:b/>
        </w:rPr>
        <w:t>Introduction:</w:t>
      </w:r>
      <w:r>
        <w:t xml:space="preserve"> Eosinophilic fasciitis (EF) presents with pain and induration of the skin. The diagnosis is suspected on the clinical ground and confirmed with tissues histology. Musculoskeletal ultrasound (MSK US) is being used in rheumatology and we have found it helpful in diagnosing patients with EF.</w:t>
      </w:r>
    </w:p>
    <w:p w:rsidR="00AA5C9D" w:rsidRDefault="00AA5C9D" w:rsidP="00AA5C9D">
      <w:r>
        <w:rPr>
          <w:b/>
        </w:rPr>
        <w:t>Objective</w:t>
      </w:r>
      <w:r>
        <w:t>: To describe MSK US finding supporting the diagnosis of eosinophilic fasciitis</w:t>
      </w:r>
    </w:p>
    <w:p w:rsidR="00AA5C9D" w:rsidRDefault="00AA5C9D" w:rsidP="00AA5C9D">
      <w:r>
        <w:rPr>
          <w:b/>
        </w:rPr>
        <w:t xml:space="preserve">Methods: </w:t>
      </w:r>
      <w:r>
        <w:t xml:space="preserve"> 3 patients with suspected EF seen in our rheumatology clinic underwent MSK US of upper extremities that exhibited findings of induration suggestive of EF. An ultrasound was performed using a 12-18 MHZ linear array transducer to visualize subcutaneous tissue, muscle and fascia in the area of pain and induration. A measurement of fascia was recorded in all three patients. One patient had focal hyperechoic area in subcutaneous tissue with no fascial enlargement. The two patients with EF enlargement underwent MRI and full thickness skin to muscle biopsy that confirmed the EF diagnosis. The third case underwent skin and subcutaneous tissue biopsy with results suggestive of panniculitis.</w:t>
      </w:r>
    </w:p>
    <w:p w:rsidR="00AA5C9D" w:rsidRDefault="00AA5C9D" w:rsidP="00AA5C9D">
      <w:r>
        <w:rPr>
          <w:b/>
        </w:rPr>
        <w:t xml:space="preserve">Results: </w:t>
      </w:r>
      <w:r>
        <w:t xml:space="preserve">3 males were included. Mean age: 40.5. The thickness of the fascia was 0.42 cm, respectively   0.39 cm in the 2 cases of EF versus no thickness in fascia in panniculitis case but abnormal subcutaneous tissue above fascia. </w:t>
      </w:r>
    </w:p>
    <w:p w:rsidR="00AA5C9D" w:rsidRDefault="00AA5C9D" w:rsidP="00AA5C9D">
      <w:pPr>
        <w:rPr>
          <w:b/>
        </w:rPr>
      </w:pPr>
      <w:r>
        <w:rPr>
          <w:b/>
        </w:rPr>
        <w:t xml:space="preserve">Conclusion: </w:t>
      </w:r>
      <w:r>
        <w:t>MSK US may represent inexpensive and reliable diagnostic method for patient with suspected EF. It can also guide biopsy site and helps to distinguish between conditions with similar clinical presentation.</w:t>
      </w:r>
    </w:p>
    <w:p w:rsidR="00AA5C9D" w:rsidRDefault="00AA5C9D" w:rsidP="00AA5C9D">
      <w:pPr>
        <w:rPr>
          <w:b/>
        </w:rPr>
      </w:pPr>
      <w:r>
        <w:rPr>
          <w:b/>
        </w:rPr>
        <w:t xml:space="preserve">References: </w:t>
      </w:r>
    </w:p>
    <w:p w:rsidR="00AA5C9D" w:rsidRDefault="00AA5C9D" w:rsidP="00AA5C9D">
      <w:pPr>
        <w:pStyle w:val="ListParagraph"/>
        <w:numPr>
          <w:ilvl w:val="0"/>
          <w:numId w:val="1"/>
        </w:numPr>
        <w:shd w:val="clear" w:color="auto" w:fill="FFFFFF"/>
        <w:spacing w:before="240" w:after="120" w:line="240" w:lineRule="auto"/>
        <w:outlineLvl w:val="0"/>
        <w:rPr>
          <w:rFonts w:ascii="Arial" w:eastAsia="Times New Roman" w:hAnsi="Arial" w:cs="Arial"/>
          <w:color w:val="000000" w:themeColor="text1"/>
          <w:sz w:val="20"/>
          <w:szCs w:val="20"/>
        </w:rPr>
      </w:pPr>
      <w:hyperlink r:id="rId6" w:history="1">
        <w:proofErr w:type="spellStart"/>
        <w:r>
          <w:rPr>
            <w:rStyle w:val="Hyperlink"/>
            <w:rFonts w:ascii="Arial" w:eastAsia="Times New Roman" w:hAnsi="Arial" w:cs="Arial"/>
            <w:color w:val="000000" w:themeColor="text1"/>
            <w:sz w:val="20"/>
            <w:szCs w:val="20"/>
            <w:u w:val="none"/>
          </w:rPr>
          <w:t>Mondal</w:t>
        </w:r>
        <w:proofErr w:type="spellEnd"/>
        <w:r>
          <w:rPr>
            <w:rStyle w:val="Hyperlink"/>
            <w:rFonts w:ascii="Arial" w:eastAsia="Times New Roman" w:hAnsi="Arial" w:cs="Arial"/>
            <w:color w:val="000000" w:themeColor="text1"/>
            <w:sz w:val="20"/>
            <w:szCs w:val="20"/>
            <w:u w:val="none"/>
          </w:rPr>
          <w:t xml:space="preserve"> S</w:t>
        </w:r>
      </w:hyperlink>
      <w:r>
        <w:rPr>
          <w:rFonts w:ascii="Arial" w:eastAsia="Times New Roman" w:hAnsi="Arial" w:cs="Arial"/>
          <w:color w:val="000000" w:themeColor="text1"/>
          <w:sz w:val="20"/>
          <w:szCs w:val="20"/>
        </w:rPr>
        <w:t xml:space="preserve">, </w:t>
      </w:r>
      <w:hyperlink r:id="rId7" w:history="1">
        <w:proofErr w:type="spellStart"/>
        <w:r>
          <w:rPr>
            <w:rStyle w:val="Hyperlink"/>
            <w:rFonts w:ascii="Arial" w:eastAsia="Times New Roman" w:hAnsi="Arial" w:cs="Arial"/>
            <w:color w:val="000000" w:themeColor="text1"/>
            <w:sz w:val="20"/>
            <w:szCs w:val="20"/>
            <w:u w:val="none"/>
          </w:rPr>
          <w:t>Goswami</w:t>
        </w:r>
        <w:proofErr w:type="spellEnd"/>
        <w:r>
          <w:rPr>
            <w:rStyle w:val="Hyperlink"/>
            <w:rFonts w:ascii="Arial" w:eastAsia="Times New Roman" w:hAnsi="Arial" w:cs="Arial"/>
            <w:color w:val="000000" w:themeColor="text1"/>
            <w:sz w:val="20"/>
            <w:szCs w:val="20"/>
            <w:u w:val="none"/>
          </w:rPr>
          <w:t xml:space="preserve"> RP</w:t>
        </w:r>
      </w:hyperlink>
      <w:r>
        <w:rPr>
          <w:rFonts w:ascii="Arial" w:eastAsia="Times New Roman" w:hAnsi="Arial" w:cs="Arial"/>
          <w:color w:val="000000" w:themeColor="text1"/>
          <w:sz w:val="20"/>
          <w:szCs w:val="20"/>
        </w:rPr>
        <w:t xml:space="preserve">, </w:t>
      </w:r>
      <w:hyperlink r:id="rId8" w:history="1">
        <w:r>
          <w:rPr>
            <w:rStyle w:val="Hyperlink"/>
            <w:rFonts w:ascii="Arial" w:eastAsia="Times New Roman" w:hAnsi="Arial" w:cs="Arial"/>
            <w:color w:val="000000" w:themeColor="text1"/>
            <w:sz w:val="20"/>
            <w:szCs w:val="20"/>
            <w:u w:val="none"/>
          </w:rPr>
          <w:t>Sinha D</w:t>
        </w:r>
      </w:hyperlink>
      <w:r>
        <w:rPr>
          <w:rFonts w:ascii="Arial" w:eastAsia="Times New Roman" w:hAnsi="Arial" w:cs="Arial"/>
          <w:color w:val="000000" w:themeColor="text1"/>
          <w:sz w:val="20"/>
          <w:szCs w:val="20"/>
        </w:rPr>
        <w:t xml:space="preserve">, </w:t>
      </w:r>
      <w:hyperlink r:id="rId9" w:history="1">
        <w:r>
          <w:rPr>
            <w:rStyle w:val="Hyperlink"/>
            <w:rFonts w:ascii="Arial" w:eastAsia="Times New Roman" w:hAnsi="Arial" w:cs="Arial"/>
            <w:color w:val="000000" w:themeColor="text1"/>
            <w:sz w:val="20"/>
            <w:szCs w:val="20"/>
            <w:u w:val="none"/>
          </w:rPr>
          <w:t>Ghosh A</w:t>
        </w:r>
      </w:hyperlink>
      <w:r>
        <w:rPr>
          <w:rFonts w:ascii="Arial" w:eastAsia="Times New Roman" w:hAnsi="Arial" w:cs="Arial"/>
          <w:color w:val="000000" w:themeColor="text1"/>
          <w:sz w:val="20"/>
          <w:szCs w:val="20"/>
        </w:rPr>
        <w:t>.</w:t>
      </w:r>
      <w:r>
        <w:rPr>
          <w:rFonts w:ascii="Arial" w:eastAsia="Times New Roman" w:hAnsi="Arial" w:cs="Arial"/>
          <w:bCs/>
          <w:color w:val="000000" w:themeColor="text1"/>
          <w:kern w:val="36"/>
          <w:sz w:val="20"/>
          <w:szCs w:val="20"/>
        </w:rPr>
        <w:t xml:space="preserve"> Ultrasound is a useful adjunct in diagnosis of eosinophilic fasciitis.</w:t>
      </w:r>
      <w:r>
        <w:rPr>
          <w:rFonts w:ascii="Arial" w:eastAsia="Times New Roman" w:hAnsi="Arial" w:cs="Arial"/>
          <w:color w:val="000000" w:themeColor="text1"/>
          <w:sz w:val="20"/>
          <w:szCs w:val="20"/>
        </w:rPr>
        <w:t xml:space="preserve"> </w:t>
      </w:r>
      <w:hyperlink r:id="rId10" w:tooltip="Rheumatology (Oxford, England)." w:history="1">
        <w:r>
          <w:rPr>
            <w:rStyle w:val="Hyperlink"/>
            <w:rFonts w:ascii="Arial" w:eastAsia="Times New Roman" w:hAnsi="Arial" w:cs="Arial"/>
            <w:color w:val="000000" w:themeColor="text1"/>
            <w:sz w:val="20"/>
            <w:szCs w:val="20"/>
            <w:u w:val="none"/>
          </w:rPr>
          <w:t>Rheumatology (Oxford).</w:t>
        </w:r>
      </w:hyperlink>
      <w:r>
        <w:rPr>
          <w:rFonts w:ascii="Arial" w:eastAsia="Times New Roman" w:hAnsi="Arial" w:cs="Arial"/>
          <w:color w:val="000000" w:themeColor="text1"/>
          <w:sz w:val="20"/>
          <w:szCs w:val="20"/>
        </w:rPr>
        <w:t xml:space="preserve"> 2015 Nov; 54(11):2041.</w:t>
      </w:r>
    </w:p>
    <w:p w:rsidR="00AA5C9D" w:rsidRDefault="00AA5C9D" w:rsidP="00AA5C9D">
      <w:pPr>
        <w:pStyle w:val="ListParagraph"/>
        <w:numPr>
          <w:ilvl w:val="0"/>
          <w:numId w:val="1"/>
        </w:num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Kissin</w:t>
      </w:r>
      <w:proofErr w:type="spellEnd"/>
      <w:r>
        <w:rPr>
          <w:rFonts w:ascii="Arial" w:hAnsi="Arial" w:cs="Arial"/>
          <w:sz w:val="20"/>
          <w:szCs w:val="20"/>
        </w:rPr>
        <w:t xml:space="preserve"> EY, Garg A, Grayson </w:t>
      </w:r>
      <w:proofErr w:type="spellStart"/>
      <w:r>
        <w:rPr>
          <w:rFonts w:ascii="Arial" w:hAnsi="Arial" w:cs="Arial"/>
          <w:sz w:val="20"/>
          <w:szCs w:val="20"/>
        </w:rPr>
        <w:t>PC</w:t>
      </w:r>
      <w:proofErr w:type="gramStart"/>
      <w:r>
        <w:rPr>
          <w:rFonts w:ascii="Arial" w:hAnsi="Arial" w:cs="Arial"/>
          <w:sz w:val="20"/>
          <w:szCs w:val="20"/>
        </w:rPr>
        <w:t>,et</w:t>
      </w:r>
      <w:proofErr w:type="spellEnd"/>
      <w:proofErr w:type="gramEnd"/>
      <w:r>
        <w:rPr>
          <w:rFonts w:ascii="Arial" w:hAnsi="Arial" w:cs="Arial"/>
          <w:sz w:val="20"/>
          <w:szCs w:val="20"/>
        </w:rPr>
        <w:t xml:space="preserve"> al. Ultrasound assessment of subcutaneous </w:t>
      </w:r>
      <w:proofErr w:type="spellStart"/>
      <w:r>
        <w:rPr>
          <w:rFonts w:ascii="Arial" w:hAnsi="Arial" w:cs="Arial"/>
          <w:sz w:val="20"/>
          <w:szCs w:val="20"/>
        </w:rPr>
        <w:t>compressibility:a</w:t>
      </w:r>
      <w:proofErr w:type="spellEnd"/>
      <w:r>
        <w:rPr>
          <w:rFonts w:ascii="Arial" w:hAnsi="Arial" w:cs="Arial"/>
          <w:sz w:val="20"/>
          <w:szCs w:val="20"/>
        </w:rPr>
        <w:t xml:space="preserve"> potential adjunctive diagnostic tool in eosinophilic </w:t>
      </w:r>
      <w:proofErr w:type="spellStart"/>
      <w:r>
        <w:rPr>
          <w:rFonts w:ascii="Arial" w:hAnsi="Arial" w:cs="Arial"/>
          <w:sz w:val="20"/>
          <w:szCs w:val="20"/>
        </w:rPr>
        <w:t>fasciitis.J</w:t>
      </w:r>
      <w:proofErr w:type="spellEnd"/>
      <w:r>
        <w:rPr>
          <w:rFonts w:ascii="Arial" w:hAnsi="Arial" w:cs="Arial"/>
          <w:sz w:val="20"/>
          <w:szCs w:val="20"/>
        </w:rPr>
        <w:t xml:space="preserve"> </w:t>
      </w:r>
      <w:proofErr w:type="spellStart"/>
      <w:r>
        <w:rPr>
          <w:rFonts w:ascii="Arial" w:hAnsi="Arial" w:cs="Arial"/>
          <w:sz w:val="20"/>
          <w:szCs w:val="20"/>
        </w:rPr>
        <w:t>Clin</w:t>
      </w:r>
      <w:proofErr w:type="spellEnd"/>
      <w:r>
        <w:rPr>
          <w:rFonts w:ascii="Arial" w:hAnsi="Arial" w:cs="Arial"/>
          <w:sz w:val="20"/>
          <w:szCs w:val="20"/>
        </w:rPr>
        <w:t xml:space="preserve"> </w:t>
      </w:r>
      <w:proofErr w:type="spellStart"/>
      <w:r>
        <w:rPr>
          <w:rFonts w:ascii="Arial" w:hAnsi="Arial" w:cs="Arial"/>
          <w:sz w:val="20"/>
          <w:szCs w:val="20"/>
        </w:rPr>
        <w:t>Rheumatol</w:t>
      </w:r>
      <w:proofErr w:type="spellEnd"/>
      <w:r>
        <w:rPr>
          <w:rFonts w:ascii="Arial" w:hAnsi="Arial" w:cs="Arial"/>
          <w:sz w:val="20"/>
          <w:szCs w:val="20"/>
        </w:rPr>
        <w:t xml:space="preserve"> 2013;19:382-5.</w:t>
      </w:r>
    </w:p>
    <w:p w:rsidR="00AA5C9D" w:rsidRDefault="00AA5C9D" w:rsidP="00AA5C9D">
      <w:pPr>
        <w:pStyle w:val="ListParagraph"/>
        <w:numPr>
          <w:ilvl w:val="0"/>
          <w:numId w:val="1"/>
        </w:num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Lebeaux</w:t>
      </w:r>
      <w:proofErr w:type="spellEnd"/>
      <w:r>
        <w:rPr>
          <w:rFonts w:ascii="Arial" w:hAnsi="Arial" w:cs="Arial"/>
          <w:sz w:val="20"/>
          <w:szCs w:val="20"/>
        </w:rPr>
        <w:t xml:space="preserve"> D, </w:t>
      </w:r>
      <w:proofErr w:type="spellStart"/>
      <w:r>
        <w:rPr>
          <w:rFonts w:ascii="Arial" w:hAnsi="Arial" w:cs="Arial"/>
          <w:sz w:val="20"/>
          <w:szCs w:val="20"/>
        </w:rPr>
        <w:t>Francès</w:t>
      </w:r>
      <w:proofErr w:type="spellEnd"/>
      <w:r>
        <w:rPr>
          <w:rFonts w:ascii="Arial" w:hAnsi="Arial" w:cs="Arial"/>
          <w:sz w:val="20"/>
          <w:szCs w:val="20"/>
        </w:rPr>
        <w:t xml:space="preserve"> C, </w:t>
      </w:r>
      <w:proofErr w:type="spellStart"/>
      <w:r>
        <w:rPr>
          <w:rFonts w:ascii="Arial" w:hAnsi="Arial" w:cs="Arial"/>
          <w:sz w:val="20"/>
          <w:szCs w:val="20"/>
        </w:rPr>
        <w:t>Barete</w:t>
      </w:r>
      <w:proofErr w:type="spellEnd"/>
      <w:r>
        <w:rPr>
          <w:rFonts w:ascii="Arial" w:hAnsi="Arial" w:cs="Arial"/>
          <w:sz w:val="20"/>
          <w:szCs w:val="20"/>
        </w:rPr>
        <w:t xml:space="preserve"> S, et al. Eosinophilic fasciitis (</w:t>
      </w:r>
      <w:proofErr w:type="spellStart"/>
      <w:r>
        <w:rPr>
          <w:rFonts w:ascii="Arial" w:hAnsi="Arial" w:cs="Arial"/>
          <w:sz w:val="20"/>
          <w:szCs w:val="20"/>
        </w:rPr>
        <w:t>shulman</w:t>
      </w:r>
      <w:proofErr w:type="spellEnd"/>
      <w:r>
        <w:rPr>
          <w:rFonts w:ascii="Arial" w:hAnsi="Arial" w:cs="Arial"/>
          <w:sz w:val="20"/>
          <w:szCs w:val="20"/>
        </w:rPr>
        <w:t xml:space="preserve"> disease): new insights into the therapeutic management from a series of 34 patients. Rheumatology (Oxford) 2012;51:557-61</w:t>
      </w:r>
    </w:p>
    <w:p w:rsidR="00AA5C9D" w:rsidRDefault="00AA5C9D" w:rsidP="00AA5C9D">
      <w:pPr>
        <w:pStyle w:val="ListParagraph"/>
        <w:numPr>
          <w:ilvl w:val="0"/>
          <w:numId w:val="1"/>
        </w:num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Kirchgesner</w:t>
      </w:r>
      <w:proofErr w:type="spellEnd"/>
      <w:r>
        <w:rPr>
          <w:rFonts w:ascii="Arial" w:hAnsi="Arial" w:cs="Arial"/>
          <w:sz w:val="20"/>
          <w:szCs w:val="20"/>
        </w:rPr>
        <w:t xml:space="preserve"> T, </w:t>
      </w:r>
      <w:proofErr w:type="spellStart"/>
      <w:r>
        <w:rPr>
          <w:rFonts w:ascii="Arial" w:hAnsi="Arial" w:cs="Arial"/>
          <w:sz w:val="20"/>
          <w:szCs w:val="20"/>
        </w:rPr>
        <w:t>Dallaudiere</w:t>
      </w:r>
      <w:proofErr w:type="spellEnd"/>
      <w:r>
        <w:rPr>
          <w:rFonts w:ascii="Arial" w:hAnsi="Arial" w:cs="Arial"/>
          <w:sz w:val="20"/>
          <w:szCs w:val="20"/>
        </w:rPr>
        <w:t xml:space="preserve"> B et al. Eosinophilic fasciitis: typical abnormalities, variants and differential diagnosis of fasciae abnormalities using MR imaging. Diagnostic and Interventional imaging (2015) 96,341-348.</w:t>
      </w:r>
    </w:p>
    <w:p w:rsidR="00AA5C9D" w:rsidRDefault="00AA5C9D" w:rsidP="00AA5C9D">
      <w:pPr>
        <w:shd w:val="clear" w:color="auto" w:fill="FFFFFF"/>
        <w:spacing w:before="240" w:after="120" w:line="240" w:lineRule="auto"/>
        <w:ind w:left="360"/>
        <w:outlineLvl w:val="0"/>
        <w:rPr>
          <w:rFonts w:ascii="Arial" w:eastAsia="Times New Roman" w:hAnsi="Arial" w:cs="Arial"/>
          <w:bCs/>
          <w:color w:val="000000" w:themeColor="text1"/>
          <w:kern w:val="36"/>
          <w:sz w:val="20"/>
          <w:szCs w:val="20"/>
        </w:rPr>
      </w:pPr>
    </w:p>
    <w:p w:rsidR="008A349D" w:rsidRDefault="008A349D">
      <w:bookmarkStart w:id="0" w:name="_GoBack"/>
      <w:bookmarkEnd w:id="0"/>
    </w:p>
    <w:p w:rsidR="008A349D" w:rsidRDefault="008A349D"/>
    <w:sectPr w:rsidR="008A3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12562F"/>
    <w:multiLevelType w:val="hybridMultilevel"/>
    <w:tmpl w:val="02EED61E"/>
    <w:lvl w:ilvl="0" w:tplc="463259F2">
      <w:start w:val="1"/>
      <w:numFmt w:val="decimal"/>
      <w:lvlText w:val="%1."/>
      <w:lvlJc w:val="left"/>
      <w:pPr>
        <w:ind w:left="720" w:hanging="360"/>
      </w:pPr>
      <w:rPr>
        <w:rFonts w:asciiTheme="minorHAnsi" w:eastAsiaTheme="minorHAnsi" w:hAnsiTheme="minorHAnsi" w:cstheme="minorBidi" w:hint="default"/>
        <w:b/>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EA5"/>
    <w:rsid w:val="00283D97"/>
    <w:rsid w:val="006711EB"/>
    <w:rsid w:val="00697EA5"/>
    <w:rsid w:val="008A349D"/>
    <w:rsid w:val="00AA190E"/>
    <w:rsid w:val="00AA5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C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C9D"/>
    <w:pPr>
      <w:ind w:left="720"/>
      <w:contextualSpacing/>
    </w:pPr>
  </w:style>
  <w:style w:type="character" w:styleId="Hyperlink">
    <w:name w:val="Hyperlink"/>
    <w:basedOn w:val="DefaultParagraphFont"/>
    <w:uiPriority w:val="99"/>
    <w:semiHidden/>
    <w:unhideWhenUsed/>
    <w:rsid w:val="00AA5C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C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C9D"/>
    <w:pPr>
      <w:ind w:left="720"/>
      <w:contextualSpacing/>
    </w:pPr>
  </w:style>
  <w:style w:type="character" w:styleId="Hyperlink">
    <w:name w:val="Hyperlink"/>
    <w:basedOn w:val="DefaultParagraphFont"/>
    <w:uiPriority w:val="99"/>
    <w:semiHidden/>
    <w:unhideWhenUsed/>
    <w:rsid w:val="00AA5C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09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inha%20D%5BAuthor%5D&amp;cauthor=true&amp;cauthor_uid=26316576" TargetMode="External"/><Relationship Id="rId3" Type="http://schemas.microsoft.com/office/2007/relationships/stylesWithEffects" Target="stylesWithEffects.xml"/><Relationship Id="rId7" Type="http://schemas.openxmlformats.org/officeDocument/2006/relationships/hyperlink" Target="https://www.ncbi.nlm.nih.gov/pubmed/?term=Goswami%20RP%5BAuthor%5D&amp;cauthor=true&amp;cauthor_uid=263165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Mondal%20S%5BAuthor%5D&amp;cauthor=true&amp;cauthor_uid=26316576"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cbi.nlm.nih.gov/pubmed/26316576?otool=mnmcclib&amp;myncbishare=mnmcclib" TargetMode="External"/><Relationship Id="rId4" Type="http://schemas.openxmlformats.org/officeDocument/2006/relationships/settings" Target="settings.xml"/><Relationship Id="rId9" Type="http://schemas.openxmlformats.org/officeDocument/2006/relationships/hyperlink" Target="https://www.ncbi.nlm.nih.gov/pubmed/?term=Ghosh%20A%5BAuthor%5D&amp;cauthor=true&amp;cauthor_uid=26316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Florentina  Berianu</dc:creator>
  <cp:lastModifiedBy>Florentina  Berianu</cp:lastModifiedBy>
  <cp:revision>2</cp:revision>
  <dcterms:created xsi:type="dcterms:W3CDTF">2017-08-08T11:41:00Z</dcterms:created>
  <dcterms:modified xsi:type="dcterms:W3CDTF">2017-08-08T11:41:00Z</dcterms:modified>
</cp:coreProperties>
</file>