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3B340" w14:textId="249C49EE" w:rsidR="001C27EF" w:rsidRPr="001C27EF" w:rsidRDefault="001C27EF" w:rsidP="001C27EF">
      <w:pPr>
        <w:jc w:val="both"/>
        <w:rPr>
          <w:rFonts w:asciiTheme="majorBidi" w:hAnsiTheme="majorBidi" w:cstheme="majorBidi"/>
          <w:b/>
          <w:bCs/>
          <w:sz w:val="36"/>
          <w:szCs w:val="36"/>
        </w:rPr>
      </w:pPr>
      <w:r w:rsidRPr="001C27EF">
        <w:rPr>
          <w:rFonts w:asciiTheme="majorBidi" w:hAnsiTheme="majorBidi" w:cstheme="majorBidi"/>
          <w:b/>
          <w:bCs/>
          <w:sz w:val="36"/>
          <w:szCs w:val="36"/>
        </w:rPr>
        <w:t>Tuberculosis reactivation in patients with rheumatoid arthritis on tumor necrosis factor-alpha-blockers: A cas</w:t>
      </w:r>
      <w:r w:rsidR="00D826F8">
        <w:rPr>
          <w:rFonts w:asciiTheme="majorBidi" w:hAnsiTheme="majorBidi" w:cstheme="majorBidi"/>
          <w:b/>
          <w:bCs/>
          <w:sz w:val="36"/>
          <w:szCs w:val="36"/>
        </w:rPr>
        <w:t xml:space="preserve">e </w:t>
      </w:r>
      <w:r w:rsidRPr="001C27EF">
        <w:rPr>
          <w:rFonts w:asciiTheme="majorBidi" w:hAnsiTheme="majorBidi" w:cstheme="majorBidi"/>
          <w:b/>
          <w:bCs/>
          <w:sz w:val="36"/>
          <w:szCs w:val="36"/>
        </w:rPr>
        <w:t>report</w:t>
      </w:r>
    </w:p>
    <w:p w14:paraId="14A06D14" w14:textId="3B3A6766" w:rsidR="001C27EF" w:rsidRPr="001C27EF" w:rsidRDefault="001C27EF" w:rsidP="001C27EF">
      <w:pPr>
        <w:jc w:val="both"/>
        <w:rPr>
          <w:rFonts w:asciiTheme="minorBidi" w:hAnsiTheme="minorBidi"/>
          <w:b/>
          <w:bCs/>
          <w:sz w:val="18"/>
          <w:szCs w:val="18"/>
        </w:rPr>
      </w:pPr>
      <w:r w:rsidRPr="001C27EF">
        <w:rPr>
          <w:rFonts w:asciiTheme="minorBidi" w:hAnsiTheme="minorBidi"/>
          <w:b/>
          <w:bCs/>
          <w:sz w:val="18"/>
          <w:szCs w:val="18"/>
        </w:rPr>
        <w:t xml:space="preserve">Poopak Mohaghegh1*, Alireza </w:t>
      </w:r>
      <w:proofErr w:type="spellStart"/>
      <w:r w:rsidRPr="001C27EF">
        <w:rPr>
          <w:rFonts w:asciiTheme="minorBidi" w:hAnsiTheme="minorBidi"/>
          <w:b/>
          <w:bCs/>
          <w:sz w:val="18"/>
          <w:szCs w:val="18"/>
        </w:rPr>
        <w:t>Tavasoli</w:t>
      </w:r>
      <w:proofErr w:type="spellEnd"/>
      <w:r w:rsidRPr="001C27EF">
        <w:rPr>
          <w:rFonts w:asciiTheme="minorBidi" w:hAnsiTheme="minorBidi"/>
          <w:b/>
          <w:bCs/>
          <w:sz w:val="18"/>
          <w:szCs w:val="18"/>
        </w:rPr>
        <w:t xml:space="preserve"> </w:t>
      </w:r>
      <w:r w:rsidR="00D826F8" w:rsidRPr="001C27EF">
        <w:rPr>
          <w:rFonts w:asciiTheme="minorBidi" w:hAnsiTheme="minorBidi"/>
          <w:b/>
          <w:bCs/>
          <w:sz w:val="18"/>
          <w:szCs w:val="18"/>
        </w:rPr>
        <w:t>2,</w:t>
      </w:r>
      <w:r w:rsidRPr="001C27EF">
        <w:rPr>
          <w:rFonts w:asciiTheme="minorBidi" w:hAnsiTheme="minorBidi"/>
          <w:b/>
          <w:bCs/>
          <w:sz w:val="18"/>
          <w:szCs w:val="18"/>
        </w:rPr>
        <w:t xml:space="preserve"> Sahar </w:t>
      </w:r>
      <w:proofErr w:type="spellStart"/>
      <w:r w:rsidRPr="001C27EF">
        <w:rPr>
          <w:rFonts w:asciiTheme="minorBidi" w:hAnsiTheme="minorBidi"/>
          <w:b/>
          <w:bCs/>
          <w:sz w:val="18"/>
          <w:szCs w:val="18"/>
        </w:rPr>
        <w:t>Mohaghegh</w:t>
      </w:r>
      <w:proofErr w:type="spellEnd"/>
      <w:r w:rsidRPr="001C27EF">
        <w:rPr>
          <w:rFonts w:asciiTheme="minorBidi" w:hAnsiTheme="minorBidi"/>
          <w:b/>
          <w:bCs/>
          <w:sz w:val="18"/>
          <w:szCs w:val="18"/>
        </w:rPr>
        <w:t xml:space="preserve"> 3</w:t>
      </w:r>
    </w:p>
    <w:p w14:paraId="69855A8A" w14:textId="77777777" w:rsidR="001C27EF" w:rsidRPr="001C27EF" w:rsidRDefault="001C27EF" w:rsidP="00CD6299">
      <w:pPr>
        <w:pStyle w:val="BodyText2"/>
      </w:pPr>
      <w:r w:rsidRPr="001C27EF">
        <w:t xml:space="preserve">1 Department of Internal Medicine, School of Medicine, </w:t>
      </w:r>
      <w:proofErr w:type="spellStart"/>
      <w:r w:rsidRPr="001C27EF">
        <w:t>Fasa</w:t>
      </w:r>
      <w:proofErr w:type="spellEnd"/>
      <w:r w:rsidRPr="001C27EF">
        <w:t xml:space="preserve"> University of Medical Sciences, </w:t>
      </w:r>
      <w:proofErr w:type="spellStart"/>
      <w:r w:rsidRPr="001C27EF">
        <w:t>Fasa</w:t>
      </w:r>
      <w:proofErr w:type="spellEnd"/>
      <w:r w:rsidRPr="001C27EF">
        <w:t xml:space="preserve">, Iran. 2 Department of Pathology, School of Medicine, </w:t>
      </w:r>
      <w:proofErr w:type="spellStart"/>
      <w:r w:rsidRPr="001C27EF">
        <w:t>Fasa</w:t>
      </w:r>
      <w:proofErr w:type="spellEnd"/>
      <w:r w:rsidRPr="001C27EF">
        <w:t xml:space="preserve"> University of Medical Sciences, </w:t>
      </w:r>
      <w:proofErr w:type="spellStart"/>
      <w:r w:rsidRPr="001C27EF">
        <w:t>Fasa</w:t>
      </w:r>
      <w:proofErr w:type="spellEnd"/>
      <w:r w:rsidRPr="001C27EF">
        <w:t>, Iran. 3 Department of Optometry, School of Rehabilitation Sciences, Shahid Beheshti University of Medical Sciences, Tehran, Iran</w:t>
      </w:r>
    </w:p>
    <w:p w14:paraId="3BEF4027" w14:textId="77777777" w:rsidR="00BD3D81" w:rsidRDefault="00BD3D81" w:rsidP="001C27EF">
      <w:pPr>
        <w:rPr>
          <w:color w:val="BF5A14"/>
        </w:rPr>
        <w:sectPr w:rsidR="00BD3D81" w:rsidSect="00BA1353">
          <w:pgSz w:w="12240" w:h="15840"/>
          <w:pgMar w:top="1440" w:right="1440" w:bottom="1440" w:left="1440" w:header="720" w:footer="720" w:gutter="0"/>
          <w:cols w:space="720"/>
          <w:docGrid w:linePitch="360"/>
        </w:sectPr>
      </w:pPr>
    </w:p>
    <w:p w14:paraId="647CFC6C" w14:textId="77777777" w:rsidR="00BF3ABE" w:rsidRPr="002036AC" w:rsidRDefault="001C27EF" w:rsidP="002036AC">
      <w:pPr>
        <w:jc w:val="both"/>
        <w:rPr>
          <w:rtl/>
        </w:rPr>
      </w:pPr>
      <w:r w:rsidRPr="001C27EF">
        <w:rPr>
          <w:color w:val="BF5A14"/>
        </w:rPr>
        <w:t>Abstract</w:t>
      </w:r>
    </w:p>
    <w:p w14:paraId="29EC966C" w14:textId="77777777" w:rsidR="001C27EF" w:rsidRPr="00D826F8" w:rsidRDefault="001C27EF" w:rsidP="00D0199F">
      <w:pPr>
        <w:pStyle w:val="BodyText"/>
        <w:rPr>
          <w:rFonts w:asciiTheme="majorBidi" w:hAnsiTheme="majorBidi" w:cstheme="majorBidi"/>
          <w:b/>
          <w:bCs/>
        </w:rPr>
      </w:pPr>
      <w:r w:rsidRPr="00D826F8">
        <w:rPr>
          <w:rFonts w:asciiTheme="majorBidi" w:hAnsiTheme="majorBidi" w:cstheme="majorBidi"/>
        </w:rPr>
        <w:t xml:space="preserve">Tumor necrosis factor-alpha-blockers have revolutionized the treatment of rheumatoid arthritis. They do, however, increase the risk of latent tuberculosis (TB) reactivation. In many countries, including Iran, TB skin tests and chest radiography are used to assess this risk. The interferon-gamma release assay test is a secondary test used to rule out the potential risk of latent TB reactivation but is not required. In this report, we present a 67-year-old female rheumatoid arthritis patient who was on tumor necrosis factor-alpha-blockers (Adalimumab) and manifested severe symptoms of TB infection in our service eight months after taking the initial treatment. In this case, the TB skin test and chest radiography were negative at initiating the remedy. Following a timely diagnosis and TB treatment, the patient was cured. Mandatory double-checking with TB skin test and interferon-gamma release assays test is recommended before tumor necrosis factor-alpha-blocker prescription in rheumatoid arthritis patients to prevent the risk of fatal tuberculosis reactivation. </w:t>
      </w:r>
    </w:p>
    <w:p w14:paraId="7453893E" w14:textId="77777777" w:rsidR="001C27EF" w:rsidRPr="001C27EF" w:rsidRDefault="001C27EF" w:rsidP="00BD3D81">
      <w:pPr>
        <w:jc w:val="both"/>
        <w:rPr>
          <w:sz w:val="24"/>
          <w:szCs w:val="24"/>
        </w:rPr>
      </w:pPr>
      <w:r w:rsidRPr="001C27EF">
        <w:rPr>
          <w:color w:val="BF5A14"/>
        </w:rPr>
        <w:t>Image</w:t>
      </w:r>
    </w:p>
    <w:p w14:paraId="43C511D3" w14:textId="77777777" w:rsidR="00110D84" w:rsidRDefault="001C27EF" w:rsidP="00BD3D81">
      <w:pPr>
        <w:jc w:val="both"/>
      </w:pPr>
      <w:r w:rsidRPr="00083F63">
        <w:rPr>
          <w:noProof/>
        </w:rPr>
        <w:drawing>
          <wp:inline distT="0" distB="0" distL="0" distR="0" wp14:anchorId="2D32DFE1" wp14:editId="13C39029">
            <wp:extent cx="3893820" cy="1005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93820" cy="1005840"/>
                    </a:xfrm>
                    <a:prstGeom prst="rect">
                      <a:avLst/>
                    </a:prstGeom>
                    <a:noFill/>
                    <a:ln>
                      <a:noFill/>
                    </a:ln>
                  </pic:spPr>
                </pic:pic>
              </a:graphicData>
            </a:graphic>
          </wp:inline>
        </w:drawing>
      </w:r>
    </w:p>
    <w:p w14:paraId="7A49A0B1" w14:textId="77777777" w:rsidR="001C27EF" w:rsidRDefault="001C27EF" w:rsidP="00BD3D81">
      <w:pPr>
        <w:jc w:val="both"/>
      </w:pPr>
      <w:r>
        <w:rPr>
          <w:b/>
          <w:bCs/>
          <w:sz w:val="20"/>
          <w:szCs w:val="20"/>
        </w:rPr>
        <w:t xml:space="preserve">Figure 1: </w:t>
      </w:r>
      <w:r>
        <w:rPr>
          <w:sz w:val="18"/>
          <w:szCs w:val="18"/>
        </w:rPr>
        <w:t>Multiple non-caseating granulomas with the aggregate of epithelioid histiocytes and Langhan's type multinucleated giant cells in peritoneal membrane section (Magnification: X100 (a), X200 (b), X400 (c) Hematoxylin &amp; Eosin or H. &amp; E. stained).</w:t>
      </w:r>
    </w:p>
    <w:p w14:paraId="75A6ACB8" w14:textId="77777777" w:rsidR="001C27EF" w:rsidRDefault="001C27EF" w:rsidP="00BD3D81">
      <w:pPr>
        <w:jc w:val="both"/>
        <w:rPr>
          <w:rFonts w:ascii="Arial"/>
          <w:b/>
          <w:color w:val="BF5A14"/>
          <w:sz w:val="20"/>
        </w:rPr>
      </w:pPr>
      <w:r>
        <w:rPr>
          <w:rFonts w:ascii="Arial"/>
          <w:b/>
          <w:color w:val="BF5A14"/>
          <w:sz w:val="20"/>
        </w:rPr>
        <w:t>Recent Publications</w:t>
      </w:r>
    </w:p>
    <w:p w14:paraId="163D09F4" w14:textId="77777777" w:rsidR="001C27EF" w:rsidRDefault="001C27EF" w:rsidP="00BD3D81">
      <w:pPr>
        <w:pStyle w:val="Default"/>
        <w:jc w:val="both"/>
      </w:pPr>
    </w:p>
    <w:p w14:paraId="3EB399E7" w14:textId="5078A020" w:rsidR="001C27EF" w:rsidRPr="00D0199F" w:rsidRDefault="001C27EF" w:rsidP="00BD3D81">
      <w:pPr>
        <w:pStyle w:val="Default"/>
        <w:jc w:val="both"/>
        <w:rPr>
          <w:sz w:val="18"/>
          <w:szCs w:val="18"/>
        </w:rPr>
      </w:pPr>
      <w:r w:rsidRPr="00D0199F">
        <w:rPr>
          <w:sz w:val="18"/>
          <w:szCs w:val="18"/>
        </w:rPr>
        <w:t xml:space="preserve">1.Keane J, Gershon S, Wise RP, Mirabile-Levens E, </w:t>
      </w:r>
      <w:proofErr w:type="spellStart"/>
      <w:r w:rsidRPr="00D0199F">
        <w:rPr>
          <w:sz w:val="18"/>
          <w:szCs w:val="18"/>
        </w:rPr>
        <w:t>Kasznica</w:t>
      </w:r>
      <w:proofErr w:type="spellEnd"/>
      <w:r w:rsidRPr="00D0199F">
        <w:rPr>
          <w:sz w:val="18"/>
          <w:szCs w:val="18"/>
        </w:rPr>
        <w:t xml:space="preserve"> J, Schwieterman WD, et al. Tuberculosis associated with infliximab, a </w:t>
      </w:r>
      <w:r w:rsidR="00CE4B33" w:rsidRPr="00D0199F">
        <w:rPr>
          <w:sz w:val="18"/>
          <w:szCs w:val="18"/>
        </w:rPr>
        <w:t>tumor necrosis</w:t>
      </w:r>
      <w:r w:rsidRPr="00D0199F">
        <w:rPr>
          <w:sz w:val="18"/>
          <w:szCs w:val="18"/>
        </w:rPr>
        <w:t xml:space="preserve"> factor alpha-neutralizing agent. </w:t>
      </w:r>
      <w:r w:rsidRPr="00D0199F">
        <w:rPr>
          <w:i/>
          <w:iCs/>
          <w:sz w:val="18"/>
          <w:szCs w:val="18"/>
        </w:rPr>
        <w:t xml:space="preserve">N Engl J Med </w:t>
      </w:r>
      <w:r w:rsidRPr="00D0199F">
        <w:rPr>
          <w:sz w:val="18"/>
          <w:szCs w:val="18"/>
        </w:rPr>
        <w:t xml:space="preserve">2001; 345:1098-104. </w:t>
      </w:r>
      <w:proofErr w:type="spellStart"/>
      <w:r w:rsidRPr="00D0199F">
        <w:rPr>
          <w:sz w:val="18"/>
          <w:szCs w:val="18"/>
        </w:rPr>
        <w:t>doi</w:t>
      </w:r>
      <w:proofErr w:type="spellEnd"/>
      <w:r w:rsidRPr="00D0199F">
        <w:rPr>
          <w:sz w:val="18"/>
          <w:szCs w:val="18"/>
        </w:rPr>
        <w:t xml:space="preserve">: 10.1056/NEJMoa011110 </w:t>
      </w:r>
    </w:p>
    <w:p w14:paraId="0B23F89B" w14:textId="3EB12923" w:rsidR="001C27EF" w:rsidRPr="00D0199F" w:rsidRDefault="001C27EF" w:rsidP="00BD3D81">
      <w:pPr>
        <w:pStyle w:val="Default"/>
        <w:jc w:val="both"/>
        <w:rPr>
          <w:sz w:val="18"/>
          <w:szCs w:val="18"/>
        </w:rPr>
      </w:pPr>
      <w:r w:rsidRPr="00D0199F">
        <w:rPr>
          <w:sz w:val="18"/>
          <w:szCs w:val="18"/>
        </w:rPr>
        <w:t xml:space="preserve">2.Dixon W, </w:t>
      </w:r>
      <w:proofErr w:type="spellStart"/>
      <w:r w:rsidRPr="00D0199F">
        <w:rPr>
          <w:sz w:val="18"/>
          <w:szCs w:val="18"/>
        </w:rPr>
        <w:t>Hyrich</w:t>
      </w:r>
      <w:proofErr w:type="spellEnd"/>
      <w:r w:rsidRPr="00D0199F">
        <w:rPr>
          <w:sz w:val="18"/>
          <w:szCs w:val="18"/>
        </w:rPr>
        <w:t xml:space="preserve"> K, Watson K, Lunt </w:t>
      </w:r>
      <w:proofErr w:type="spellStart"/>
      <w:proofErr w:type="gramStart"/>
      <w:r w:rsidRPr="00D0199F">
        <w:rPr>
          <w:sz w:val="18"/>
          <w:szCs w:val="18"/>
        </w:rPr>
        <w:t>M,Galloway</w:t>
      </w:r>
      <w:proofErr w:type="spellEnd"/>
      <w:proofErr w:type="gramEnd"/>
      <w:r w:rsidRPr="00D0199F">
        <w:rPr>
          <w:sz w:val="18"/>
          <w:szCs w:val="18"/>
        </w:rPr>
        <w:t xml:space="preserve"> J, </w:t>
      </w:r>
      <w:proofErr w:type="spellStart"/>
      <w:r w:rsidRPr="00D0199F">
        <w:rPr>
          <w:sz w:val="18"/>
          <w:szCs w:val="18"/>
        </w:rPr>
        <w:t>Ustianowski</w:t>
      </w:r>
      <w:proofErr w:type="spellEnd"/>
      <w:r w:rsidRPr="00D0199F">
        <w:rPr>
          <w:sz w:val="18"/>
          <w:szCs w:val="18"/>
        </w:rPr>
        <w:t xml:space="preserve"> A. et al. Drug-</w:t>
      </w:r>
      <w:r w:rsidR="00CE4B33" w:rsidRPr="00D0199F">
        <w:rPr>
          <w:sz w:val="18"/>
          <w:szCs w:val="18"/>
        </w:rPr>
        <w:t>specific risk</w:t>
      </w:r>
      <w:r w:rsidRPr="00D0199F">
        <w:rPr>
          <w:sz w:val="18"/>
          <w:szCs w:val="18"/>
        </w:rPr>
        <w:t xml:space="preserve"> of tuberculosis in patients with</w:t>
      </w:r>
      <w:r w:rsidR="00CE4B33">
        <w:rPr>
          <w:sz w:val="18"/>
          <w:szCs w:val="18"/>
        </w:rPr>
        <w:t xml:space="preserve"> </w:t>
      </w:r>
      <w:proofErr w:type="spellStart"/>
      <w:r w:rsidRPr="00D0199F">
        <w:rPr>
          <w:sz w:val="18"/>
          <w:szCs w:val="18"/>
        </w:rPr>
        <w:t>rheumatoidarthritis</w:t>
      </w:r>
      <w:proofErr w:type="spellEnd"/>
      <w:r w:rsidRPr="00D0199F">
        <w:rPr>
          <w:sz w:val="18"/>
          <w:szCs w:val="18"/>
        </w:rPr>
        <w:t xml:space="preserve"> treated with anti-</w:t>
      </w:r>
      <w:r w:rsidR="00CE4B33" w:rsidRPr="00D0199F">
        <w:rPr>
          <w:sz w:val="18"/>
          <w:szCs w:val="18"/>
        </w:rPr>
        <w:t>TN therapy</w:t>
      </w:r>
      <w:r w:rsidRPr="00D0199F">
        <w:rPr>
          <w:sz w:val="18"/>
          <w:szCs w:val="18"/>
        </w:rPr>
        <w:t xml:space="preserve">: </w:t>
      </w:r>
      <w:r w:rsidR="00CE4B33" w:rsidRPr="00D0199F">
        <w:rPr>
          <w:sz w:val="18"/>
          <w:szCs w:val="18"/>
        </w:rPr>
        <w:t>results from</w:t>
      </w:r>
      <w:r w:rsidRPr="00D0199F">
        <w:rPr>
          <w:sz w:val="18"/>
          <w:szCs w:val="18"/>
        </w:rPr>
        <w:t xml:space="preserve"> the British Society for </w:t>
      </w:r>
      <w:r w:rsidR="00CE4B33" w:rsidRPr="00D0199F">
        <w:rPr>
          <w:sz w:val="18"/>
          <w:szCs w:val="18"/>
        </w:rPr>
        <w:t>Rheumatology Biologics</w:t>
      </w:r>
      <w:r w:rsidRPr="00D0199F">
        <w:rPr>
          <w:sz w:val="18"/>
          <w:szCs w:val="18"/>
        </w:rPr>
        <w:t xml:space="preserve"> Register (BSRBR). </w:t>
      </w:r>
      <w:r w:rsidRPr="00D0199F">
        <w:rPr>
          <w:b/>
          <w:bCs/>
          <w:i/>
          <w:iCs/>
          <w:sz w:val="18"/>
          <w:szCs w:val="18"/>
        </w:rPr>
        <w:t xml:space="preserve">Rheum Dis </w:t>
      </w:r>
      <w:r w:rsidRPr="00D0199F">
        <w:rPr>
          <w:sz w:val="18"/>
          <w:szCs w:val="18"/>
        </w:rPr>
        <w:t>2010;69(3):522-28. doi:10.1136/ard.2009.118935.</w:t>
      </w:r>
    </w:p>
    <w:p w14:paraId="7E0502EF" w14:textId="523797F6" w:rsidR="001C27EF" w:rsidRPr="00D0199F" w:rsidRDefault="001C27EF" w:rsidP="00BD3D81">
      <w:pPr>
        <w:pStyle w:val="Default"/>
        <w:jc w:val="both"/>
        <w:rPr>
          <w:sz w:val="18"/>
          <w:szCs w:val="18"/>
        </w:rPr>
      </w:pPr>
      <w:r w:rsidRPr="00D0199F">
        <w:rPr>
          <w:sz w:val="18"/>
          <w:szCs w:val="18"/>
        </w:rPr>
        <w:t xml:space="preserve">3.Dantes E, </w:t>
      </w:r>
      <w:proofErr w:type="spellStart"/>
      <w:r w:rsidRPr="00D0199F">
        <w:rPr>
          <w:sz w:val="18"/>
          <w:szCs w:val="18"/>
        </w:rPr>
        <w:t>Tofolean</w:t>
      </w:r>
      <w:proofErr w:type="spellEnd"/>
      <w:r w:rsidRPr="00D0199F">
        <w:rPr>
          <w:sz w:val="18"/>
          <w:szCs w:val="18"/>
        </w:rPr>
        <w:t xml:space="preserve"> DE, </w:t>
      </w:r>
      <w:proofErr w:type="spellStart"/>
      <w:r w:rsidRPr="00D0199F">
        <w:rPr>
          <w:sz w:val="18"/>
          <w:szCs w:val="18"/>
        </w:rPr>
        <w:t>Fildan</w:t>
      </w:r>
      <w:proofErr w:type="spellEnd"/>
      <w:r w:rsidRPr="00D0199F">
        <w:rPr>
          <w:sz w:val="18"/>
          <w:szCs w:val="18"/>
        </w:rPr>
        <w:t xml:space="preserve"> </w:t>
      </w:r>
      <w:proofErr w:type="spellStart"/>
      <w:proofErr w:type="gramStart"/>
      <w:r w:rsidRPr="00D0199F">
        <w:rPr>
          <w:sz w:val="18"/>
          <w:szCs w:val="18"/>
        </w:rPr>
        <w:t>AP,Craciun</w:t>
      </w:r>
      <w:proofErr w:type="spellEnd"/>
      <w:proofErr w:type="gramEnd"/>
      <w:r w:rsidRPr="00D0199F">
        <w:rPr>
          <w:sz w:val="18"/>
          <w:szCs w:val="18"/>
        </w:rPr>
        <w:t xml:space="preserve"> </w:t>
      </w:r>
      <w:proofErr w:type="spellStart"/>
      <w:r w:rsidRPr="00D0199F">
        <w:rPr>
          <w:sz w:val="18"/>
          <w:szCs w:val="18"/>
        </w:rPr>
        <w:t>L,Dumea</w:t>
      </w:r>
      <w:proofErr w:type="spellEnd"/>
      <w:r w:rsidRPr="00D0199F">
        <w:rPr>
          <w:sz w:val="18"/>
          <w:szCs w:val="18"/>
        </w:rPr>
        <w:t xml:space="preserve"> E, </w:t>
      </w:r>
      <w:proofErr w:type="spellStart"/>
      <w:r w:rsidRPr="00D0199F">
        <w:rPr>
          <w:sz w:val="18"/>
          <w:szCs w:val="18"/>
        </w:rPr>
        <w:t>Tofolean</w:t>
      </w:r>
      <w:proofErr w:type="spellEnd"/>
      <w:r w:rsidRPr="00D0199F">
        <w:rPr>
          <w:sz w:val="18"/>
          <w:szCs w:val="18"/>
        </w:rPr>
        <w:t xml:space="preserve"> IT, et </w:t>
      </w:r>
      <w:proofErr w:type="spellStart"/>
      <w:r w:rsidRPr="00D0199F">
        <w:rPr>
          <w:sz w:val="18"/>
          <w:szCs w:val="18"/>
        </w:rPr>
        <w:t>al.Lethaldisseminated</w:t>
      </w:r>
      <w:proofErr w:type="spellEnd"/>
      <w:r w:rsidRPr="00D0199F">
        <w:rPr>
          <w:sz w:val="18"/>
          <w:szCs w:val="18"/>
        </w:rPr>
        <w:t xml:space="preserve"> tuberculosis in patients</w:t>
      </w:r>
      <w:r w:rsidR="00CE4B33">
        <w:rPr>
          <w:sz w:val="18"/>
          <w:szCs w:val="18"/>
        </w:rPr>
        <w:t xml:space="preserve"> </w:t>
      </w:r>
      <w:r w:rsidR="00CE4B33" w:rsidRPr="00D0199F">
        <w:rPr>
          <w:sz w:val="18"/>
          <w:szCs w:val="18"/>
        </w:rPr>
        <w:t>under biological</w:t>
      </w:r>
      <w:r w:rsidRPr="00D0199F">
        <w:rPr>
          <w:sz w:val="18"/>
          <w:szCs w:val="18"/>
        </w:rPr>
        <w:t xml:space="preserve"> treatment - two </w:t>
      </w:r>
      <w:r w:rsidR="00CE4B33" w:rsidRPr="00D0199F">
        <w:rPr>
          <w:sz w:val="18"/>
          <w:szCs w:val="18"/>
        </w:rPr>
        <w:t>clinical cases</w:t>
      </w:r>
      <w:r w:rsidRPr="00D0199F">
        <w:rPr>
          <w:sz w:val="18"/>
          <w:szCs w:val="18"/>
        </w:rPr>
        <w:t xml:space="preserve"> and </w:t>
      </w:r>
      <w:r w:rsidR="00CE4B33" w:rsidRPr="00D0199F">
        <w:rPr>
          <w:sz w:val="18"/>
          <w:szCs w:val="18"/>
        </w:rPr>
        <w:t>a short</w:t>
      </w:r>
      <w:r w:rsidRPr="00D0199F">
        <w:rPr>
          <w:sz w:val="18"/>
          <w:szCs w:val="18"/>
        </w:rPr>
        <w:t xml:space="preserve"> review. </w:t>
      </w:r>
      <w:r w:rsidRPr="00D0199F">
        <w:rPr>
          <w:i/>
          <w:iCs/>
          <w:sz w:val="18"/>
          <w:szCs w:val="18"/>
        </w:rPr>
        <w:t xml:space="preserve">J Int Med Res </w:t>
      </w:r>
      <w:r w:rsidRPr="00D0199F">
        <w:rPr>
          <w:sz w:val="18"/>
          <w:szCs w:val="18"/>
        </w:rPr>
        <w:t xml:space="preserve">2018;46(7):2961-69. </w:t>
      </w:r>
      <w:proofErr w:type="spellStart"/>
      <w:r w:rsidRPr="00D0199F">
        <w:rPr>
          <w:sz w:val="18"/>
          <w:szCs w:val="18"/>
        </w:rPr>
        <w:t>doi</w:t>
      </w:r>
      <w:proofErr w:type="spellEnd"/>
      <w:r w:rsidRPr="00D0199F">
        <w:rPr>
          <w:sz w:val="18"/>
          <w:szCs w:val="18"/>
        </w:rPr>
        <w:t>: 10.1177/ 030006051 8771273.</w:t>
      </w:r>
    </w:p>
    <w:p w14:paraId="214E869C" w14:textId="21E0B8D1" w:rsidR="001C27EF" w:rsidRPr="00D0199F" w:rsidRDefault="001C27EF" w:rsidP="00BD3D81">
      <w:pPr>
        <w:pStyle w:val="Default"/>
        <w:jc w:val="both"/>
        <w:rPr>
          <w:sz w:val="18"/>
          <w:szCs w:val="18"/>
        </w:rPr>
      </w:pPr>
      <w:r w:rsidRPr="00D0199F">
        <w:rPr>
          <w:sz w:val="18"/>
          <w:szCs w:val="18"/>
        </w:rPr>
        <w:t xml:space="preserve">4.Wańczyk-Dręczewska </w:t>
      </w:r>
      <w:proofErr w:type="spellStart"/>
      <w:proofErr w:type="gramStart"/>
      <w:r w:rsidRPr="00D0199F">
        <w:rPr>
          <w:sz w:val="18"/>
          <w:szCs w:val="18"/>
        </w:rPr>
        <w:t>B,Owcz</w:t>
      </w:r>
      <w:proofErr w:type="spellEnd"/>
      <w:proofErr w:type="gramEnd"/>
      <w:r w:rsidRPr="00D0199F">
        <w:rPr>
          <w:sz w:val="18"/>
          <w:szCs w:val="18"/>
        </w:rPr>
        <w:t xml:space="preserve"> </w:t>
      </w:r>
      <w:proofErr w:type="spellStart"/>
      <w:r w:rsidRPr="00D0199F">
        <w:rPr>
          <w:sz w:val="18"/>
          <w:szCs w:val="18"/>
        </w:rPr>
        <w:t>arczyk-Saczonek</w:t>
      </w:r>
      <w:proofErr w:type="spellEnd"/>
      <w:r w:rsidRPr="00D0199F">
        <w:rPr>
          <w:sz w:val="18"/>
          <w:szCs w:val="18"/>
        </w:rPr>
        <w:t xml:space="preserve"> A, Placek W. Tuberculosis in </w:t>
      </w:r>
      <w:r w:rsidR="00CE4B33" w:rsidRPr="00D0199F">
        <w:rPr>
          <w:sz w:val="18"/>
          <w:szCs w:val="18"/>
        </w:rPr>
        <w:t>patient with</w:t>
      </w:r>
      <w:r w:rsidRPr="00D0199F">
        <w:rPr>
          <w:sz w:val="18"/>
          <w:szCs w:val="18"/>
        </w:rPr>
        <w:t xml:space="preserve"> psoriasis receiving biologic therapy: </w:t>
      </w:r>
      <w:r w:rsidR="00CE4B33" w:rsidRPr="00D0199F">
        <w:rPr>
          <w:sz w:val="18"/>
          <w:szCs w:val="18"/>
        </w:rPr>
        <w:t>Case report</w:t>
      </w:r>
      <w:r w:rsidRPr="00D0199F">
        <w:rPr>
          <w:sz w:val="18"/>
          <w:szCs w:val="18"/>
        </w:rPr>
        <w:t xml:space="preserve">. </w:t>
      </w:r>
      <w:r w:rsidRPr="00D0199F">
        <w:rPr>
          <w:i/>
          <w:iCs/>
          <w:sz w:val="18"/>
          <w:szCs w:val="18"/>
        </w:rPr>
        <w:t xml:space="preserve">Pol Ann Med </w:t>
      </w:r>
      <w:r w:rsidRPr="00D0199F">
        <w:rPr>
          <w:sz w:val="18"/>
          <w:szCs w:val="18"/>
        </w:rPr>
        <w:t>2020;27(2):209-13. doi:10.29089/2020.20.00135</w:t>
      </w:r>
    </w:p>
    <w:p w14:paraId="5C8EC4D8" w14:textId="29DE8869" w:rsidR="001C27EF" w:rsidRPr="00D0199F" w:rsidRDefault="001C27EF" w:rsidP="00BD3D81">
      <w:pPr>
        <w:pStyle w:val="Default"/>
        <w:jc w:val="both"/>
        <w:rPr>
          <w:sz w:val="18"/>
          <w:szCs w:val="18"/>
        </w:rPr>
      </w:pPr>
      <w:proofErr w:type="gramStart"/>
      <w:r w:rsidRPr="00D0199F">
        <w:rPr>
          <w:sz w:val="18"/>
          <w:szCs w:val="18"/>
        </w:rPr>
        <w:t>5..Mazurek</w:t>
      </w:r>
      <w:proofErr w:type="gramEnd"/>
      <w:r w:rsidRPr="00D0199F">
        <w:rPr>
          <w:sz w:val="18"/>
          <w:szCs w:val="18"/>
        </w:rPr>
        <w:t xml:space="preserve"> GH, Jereb J, Vernon A, LoBue </w:t>
      </w:r>
      <w:proofErr w:type="spellStart"/>
      <w:r w:rsidRPr="00D0199F">
        <w:rPr>
          <w:sz w:val="18"/>
          <w:szCs w:val="18"/>
        </w:rPr>
        <w:t>P,Goldberg</w:t>
      </w:r>
      <w:proofErr w:type="spellEnd"/>
      <w:r w:rsidRPr="00D0199F">
        <w:rPr>
          <w:sz w:val="18"/>
          <w:szCs w:val="18"/>
        </w:rPr>
        <w:t xml:space="preserve"> S, Castro K. Updated guidelines </w:t>
      </w:r>
      <w:r w:rsidR="00CE4B33" w:rsidRPr="00D0199F">
        <w:rPr>
          <w:sz w:val="18"/>
          <w:szCs w:val="18"/>
        </w:rPr>
        <w:t>for using</w:t>
      </w:r>
      <w:r w:rsidRPr="00D0199F">
        <w:rPr>
          <w:sz w:val="18"/>
          <w:szCs w:val="18"/>
        </w:rPr>
        <w:t xml:space="preserve"> Interferon Gamma Release Assays </w:t>
      </w:r>
      <w:r w:rsidR="00CE4B33" w:rsidRPr="00D0199F">
        <w:rPr>
          <w:sz w:val="18"/>
          <w:szCs w:val="18"/>
        </w:rPr>
        <w:t>to detect</w:t>
      </w:r>
      <w:r w:rsidRPr="00D0199F">
        <w:rPr>
          <w:sz w:val="18"/>
          <w:szCs w:val="18"/>
        </w:rPr>
        <w:t xml:space="preserve"> Mycobacterium tuberculosis infection -United States, 2010. </w:t>
      </w:r>
      <w:r w:rsidRPr="00D0199F">
        <w:rPr>
          <w:i/>
          <w:iCs/>
          <w:sz w:val="18"/>
          <w:szCs w:val="18"/>
        </w:rPr>
        <w:t xml:space="preserve">MMWR </w:t>
      </w:r>
      <w:r w:rsidR="00CE4B33" w:rsidRPr="00D0199F">
        <w:rPr>
          <w:i/>
          <w:iCs/>
          <w:sz w:val="18"/>
          <w:szCs w:val="18"/>
        </w:rPr>
        <w:t>Recommendations and</w:t>
      </w:r>
      <w:r w:rsidRPr="00D0199F">
        <w:rPr>
          <w:i/>
          <w:iCs/>
          <w:sz w:val="18"/>
          <w:szCs w:val="18"/>
        </w:rPr>
        <w:t xml:space="preserve"> reports: Morbidity and mortality </w:t>
      </w:r>
      <w:r w:rsidR="00CE4B33" w:rsidRPr="00D0199F">
        <w:rPr>
          <w:i/>
          <w:iCs/>
          <w:sz w:val="18"/>
          <w:szCs w:val="18"/>
        </w:rPr>
        <w:t>weekly report</w:t>
      </w:r>
      <w:r w:rsidRPr="00D0199F">
        <w:rPr>
          <w:i/>
          <w:iCs/>
          <w:sz w:val="18"/>
          <w:szCs w:val="18"/>
        </w:rPr>
        <w:t xml:space="preserve"> Recommendations and reports </w:t>
      </w:r>
      <w:r w:rsidR="00CE4B33" w:rsidRPr="00D0199F">
        <w:rPr>
          <w:sz w:val="18"/>
          <w:szCs w:val="18"/>
        </w:rPr>
        <w:t>2010; 59:1</w:t>
      </w:r>
      <w:r w:rsidRPr="00D0199F">
        <w:rPr>
          <w:sz w:val="18"/>
          <w:szCs w:val="18"/>
        </w:rPr>
        <w:t>-25.</w:t>
      </w:r>
    </w:p>
    <w:p w14:paraId="6C2278D2" w14:textId="77777777" w:rsidR="001C27EF" w:rsidRDefault="001C27EF" w:rsidP="00BD3D81">
      <w:pPr>
        <w:jc w:val="both"/>
        <w:rPr>
          <w:rFonts w:asciiTheme="majorBidi" w:hAnsiTheme="majorBidi" w:cstheme="majorBidi"/>
        </w:rPr>
      </w:pPr>
      <w:r>
        <w:rPr>
          <w:rFonts w:ascii="Arial"/>
          <w:color w:val="BF5A14"/>
        </w:rPr>
        <w:t>Biography</w:t>
      </w:r>
    </w:p>
    <w:p w14:paraId="0181EEC7" w14:textId="1CCF683C" w:rsidR="001C27EF" w:rsidRPr="00D826F8" w:rsidRDefault="001C27EF" w:rsidP="00BD3D81">
      <w:pPr>
        <w:jc w:val="both"/>
        <w:rPr>
          <w:rFonts w:asciiTheme="majorBidi" w:hAnsiTheme="majorBidi" w:cstheme="majorBidi"/>
          <w:sz w:val="18"/>
          <w:szCs w:val="18"/>
        </w:rPr>
      </w:pPr>
      <w:r w:rsidRPr="00D826F8">
        <w:rPr>
          <w:rFonts w:asciiTheme="majorBidi" w:hAnsiTheme="majorBidi" w:cstheme="majorBidi"/>
          <w:sz w:val="18"/>
          <w:szCs w:val="18"/>
        </w:rPr>
        <w:t xml:space="preserve">Dr Poopak </w:t>
      </w:r>
      <w:proofErr w:type="spellStart"/>
      <w:r w:rsidRPr="00D826F8">
        <w:rPr>
          <w:rFonts w:asciiTheme="majorBidi" w:hAnsiTheme="majorBidi" w:cstheme="majorBidi"/>
          <w:sz w:val="18"/>
          <w:szCs w:val="18"/>
        </w:rPr>
        <w:t>Mohaghegh</w:t>
      </w:r>
      <w:proofErr w:type="spellEnd"/>
      <w:r w:rsidRPr="00D826F8">
        <w:rPr>
          <w:rFonts w:asciiTheme="majorBidi" w:hAnsiTheme="majorBidi" w:cstheme="majorBidi"/>
          <w:sz w:val="18"/>
          <w:szCs w:val="18"/>
        </w:rPr>
        <w:t xml:space="preserve"> has her </w:t>
      </w:r>
      <w:r w:rsidR="00D826F8" w:rsidRPr="00D826F8">
        <w:rPr>
          <w:rFonts w:asciiTheme="majorBidi" w:hAnsiTheme="majorBidi" w:cstheme="majorBidi"/>
          <w:sz w:val="18"/>
          <w:szCs w:val="18"/>
        </w:rPr>
        <w:t>expertise in</w:t>
      </w:r>
      <w:r w:rsidR="00360216">
        <w:rPr>
          <w:rFonts w:asciiTheme="majorBidi" w:hAnsiTheme="majorBidi" w:cstheme="majorBidi"/>
          <w:sz w:val="18"/>
          <w:szCs w:val="18"/>
        </w:rPr>
        <w:t xml:space="preserve"> medicine about 23 years and her activity in  </w:t>
      </w:r>
      <w:r w:rsidRPr="00D826F8">
        <w:rPr>
          <w:rFonts w:asciiTheme="majorBidi" w:hAnsiTheme="majorBidi" w:cstheme="majorBidi"/>
          <w:sz w:val="18"/>
          <w:szCs w:val="18"/>
        </w:rPr>
        <w:t xml:space="preserve"> rheumatology </w:t>
      </w:r>
      <w:r w:rsidR="00D826F8" w:rsidRPr="00D826F8">
        <w:rPr>
          <w:rFonts w:asciiTheme="majorBidi" w:hAnsiTheme="majorBidi" w:cstheme="majorBidi"/>
          <w:sz w:val="18"/>
          <w:szCs w:val="18"/>
        </w:rPr>
        <w:t>field</w:t>
      </w:r>
      <w:r w:rsidRPr="00D826F8">
        <w:rPr>
          <w:rFonts w:asciiTheme="majorBidi" w:hAnsiTheme="majorBidi" w:cstheme="majorBidi"/>
          <w:sz w:val="18"/>
          <w:szCs w:val="18"/>
        </w:rPr>
        <w:t xml:space="preserve"> as assistant </w:t>
      </w:r>
      <w:r w:rsidR="00D826F8" w:rsidRPr="00D826F8">
        <w:rPr>
          <w:rFonts w:asciiTheme="majorBidi" w:hAnsiTheme="majorBidi" w:cstheme="majorBidi"/>
          <w:sz w:val="18"/>
          <w:szCs w:val="18"/>
        </w:rPr>
        <w:t>professor</w:t>
      </w:r>
      <w:r w:rsidR="00360216">
        <w:rPr>
          <w:rFonts w:asciiTheme="majorBidi" w:hAnsiTheme="majorBidi" w:cstheme="majorBidi"/>
          <w:sz w:val="18"/>
          <w:szCs w:val="18"/>
        </w:rPr>
        <w:t xml:space="preserve"> is from </w:t>
      </w:r>
      <w:r w:rsidR="009852C9">
        <w:rPr>
          <w:rFonts w:asciiTheme="majorBidi" w:hAnsiTheme="majorBidi" w:cstheme="majorBidi"/>
          <w:sz w:val="18"/>
          <w:szCs w:val="18"/>
        </w:rPr>
        <w:t>2013.</w:t>
      </w:r>
      <w:r w:rsidR="00D826F8" w:rsidRPr="00D826F8">
        <w:rPr>
          <w:rFonts w:asciiTheme="majorBidi" w:hAnsiTheme="majorBidi" w:cstheme="majorBidi"/>
          <w:sz w:val="18"/>
          <w:szCs w:val="18"/>
        </w:rPr>
        <w:t xml:space="preserve"> She</w:t>
      </w:r>
      <w:r w:rsidRPr="00D826F8">
        <w:rPr>
          <w:rFonts w:asciiTheme="majorBidi" w:hAnsiTheme="majorBidi" w:cstheme="majorBidi"/>
          <w:sz w:val="18"/>
          <w:szCs w:val="18"/>
        </w:rPr>
        <w:t xml:space="preserve"> </w:t>
      </w:r>
      <w:r w:rsidR="00D826F8" w:rsidRPr="00D826F8">
        <w:rPr>
          <w:rFonts w:asciiTheme="majorBidi" w:hAnsiTheme="majorBidi" w:cstheme="majorBidi"/>
          <w:sz w:val="18"/>
          <w:szCs w:val="18"/>
        </w:rPr>
        <w:t>practices</w:t>
      </w:r>
      <w:r w:rsidRPr="00D826F8">
        <w:rPr>
          <w:rFonts w:asciiTheme="majorBidi" w:hAnsiTheme="majorBidi" w:cstheme="majorBidi"/>
          <w:sz w:val="18"/>
          <w:szCs w:val="18"/>
        </w:rPr>
        <w:t xml:space="preserve"> in this field in management of hospitalized and out patients in </w:t>
      </w:r>
      <w:r w:rsidR="00D826F8" w:rsidRPr="00D826F8">
        <w:rPr>
          <w:rFonts w:asciiTheme="majorBidi" w:hAnsiTheme="majorBidi" w:cstheme="majorBidi"/>
          <w:sz w:val="18"/>
          <w:szCs w:val="18"/>
        </w:rPr>
        <w:t>Iran. This</w:t>
      </w:r>
      <w:r w:rsidRPr="00D826F8">
        <w:rPr>
          <w:rFonts w:asciiTheme="majorBidi" w:hAnsiTheme="majorBidi" w:cstheme="majorBidi"/>
          <w:sz w:val="18"/>
          <w:szCs w:val="18"/>
        </w:rPr>
        <w:t xml:space="preserve"> case is one of her patients that was seen in local </w:t>
      </w:r>
      <w:r w:rsidR="00580C52" w:rsidRPr="00D826F8">
        <w:rPr>
          <w:rFonts w:asciiTheme="majorBidi" w:hAnsiTheme="majorBidi" w:cstheme="majorBidi"/>
          <w:sz w:val="18"/>
          <w:szCs w:val="18"/>
        </w:rPr>
        <w:t>hospital and</w:t>
      </w:r>
      <w:r w:rsidRPr="00D826F8">
        <w:rPr>
          <w:rFonts w:asciiTheme="majorBidi" w:hAnsiTheme="majorBidi" w:cstheme="majorBidi"/>
          <w:sz w:val="18"/>
          <w:szCs w:val="18"/>
        </w:rPr>
        <w:t xml:space="preserve"> she </w:t>
      </w:r>
      <w:r w:rsidR="00360216">
        <w:rPr>
          <w:rFonts w:asciiTheme="majorBidi" w:hAnsiTheme="majorBidi" w:cstheme="majorBidi"/>
          <w:sz w:val="18"/>
          <w:szCs w:val="18"/>
        </w:rPr>
        <w:t>believes</w:t>
      </w:r>
      <w:r w:rsidRPr="00D826F8">
        <w:rPr>
          <w:rFonts w:asciiTheme="majorBidi" w:hAnsiTheme="majorBidi" w:cstheme="majorBidi"/>
          <w:sz w:val="18"/>
          <w:szCs w:val="18"/>
        </w:rPr>
        <w:t xml:space="preserve"> that attention </w:t>
      </w:r>
      <w:r w:rsidR="00580C52" w:rsidRPr="00D826F8">
        <w:rPr>
          <w:rFonts w:asciiTheme="majorBidi" w:hAnsiTheme="majorBidi" w:cstheme="majorBidi"/>
          <w:sz w:val="18"/>
          <w:szCs w:val="18"/>
        </w:rPr>
        <w:t>to this</w:t>
      </w:r>
      <w:r w:rsidRPr="00D826F8">
        <w:rPr>
          <w:rFonts w:asciiTheme="majorBidi" w:hAnsiTheme="majorBidi" w:cstheme="majorBidi"/>
          <w:sz w:val="18"/>
          <w:szCs w:val="18"/>
        </w:rPr>
        <w:t xml:space="preserve"> case may help to save other </w:t>
      </w:r>
      <w:r w:rsidR="00580C52" w:rsidRPr="00D826F8">
        <w:rPr>
          <w:rFonts w:asciiTheme="majorBidi" w:hAnsiTheme="majorBidi" w:cstheme="majorBidi"/>
          <w:sz w:val="18"/>
          <w:szCs w:val="18"/>
        </w:rPr>
        <w:t xml:space="preserve">patients </w:t>
      </w:r>
      <w:r w:rsidR="005D0ACE">
        <w:rPr>
          <w:rFonts w:asciiTheme="majorBidi" w:hAnsiTheme="majorBidi" w:cstheme="majorBidi"/>
          <w:sz w:val="18"/>
          <w:szCs w:val="18"/>
        </w:rPr>
        <w:t xml:space="preserve">because </w:t>
      </w:r>
      <w:r w:rsidR="00580C52" w:rsidRPr="00D826F8">
        <w:rPr>
          <w:rFonts w:asciiTheme="majorBidi" w:hAnsiTheme="majorBidi" w:cstheme="majorBidi"/>
          <w:sz w:val="18"/>
          <w:szCs w:val="18"/>
        </w:rPr>
        <w:t>in some</w:t>
      </w:r>
      <w:r w:rsidRPr="00D826F8">
        <w:rPr>
          <w:rFonts w:asciiTheme="majorBidi" w:hAnsiTheme="majorBidi" w:cstheme="majorBidi"/>
          <w:sz w:val="18"/>
          <w:szCs w:val="18"/>
        </w:rPr>
        <w:t xml:space="preserve"> TB </w:t>
      </w:r>
      <w:r w:rsidR="00580C52" w:rsidRPr="00D826F8">
        <w:rPr>
          <w:rFonts w:asciiTheme="majorBidi" w:hAnsiTheme="majorBidi" w:cstheme="majorBidi"/>
          <w:sz w:val="18"/>
          <w:szCs w:val="18"/>
        </w:rPr>
        <w:t>endemic areas,</w:t>
      </w:r>
      <w:r w:rsidRPr="00D826F8">
        <w:rPr>
          <w:rFonts w:asciiTheme="majorBidi" w:hAnsiTheme="majorBidi" w:cstheme="majorBidi"/>
          <w:sz w:val="18"/>
          <w:szCs w:val="18"/>
        </w:rPr>
        <w:t xml:space="preserve"> dual testing for </w:t>
      </w:r>
      <w:r w:rsidR="000E4A9B">
        <w:rPr>
          <w:rFonts w:asciiTheme="majorBidi" w:hAnsiTheme="majorBidi" w:cstheme="majorBidi"/>
          <w:sz w:val="18"/>
          <w:szCs w:val="18"/>
        </w:rPr>
        <w:t xml:space="preserve">latent </w:t>
      </w:r>
      <w:r w:rsidRPr="00D826F8">
        <w:rPr>
          <w:rFonts w:asciiTheme="majorBidi" w:hAnsiTheme="majorBidi" w:cstheme="majorBidi"/>
          <w:sz w:val="18"/>
          <w:szCs w:val="18"/>
        </w:rPr>
        <w:t>T</w:t>
      </w:r>
      <w:r w:rsidR="005D0ACE">
        <w:rPr>
          <w:rFonts w:asciiTheme="majorBidi" w:hAnsiTheme="majorBidi" w:cstheme="majorBidi"/>
          <w:sz w:val="18"/>
          <w:szCs w:val="18"/>
        </w:rPr>
        <w:t xml:space="preserve">B </w:t>
      </w:r>
      <w:r w:rsidR="00580C52" w:rsidRPr="00D826F8">
        <w:rPr>
          <w:rFonts w:asciiTheme="majorBidi" w:hAnsiTheme="majorBidi" w:cstheme="majorBidi"/>
          <w:sz w:val="18"/>
          <w:szCs w:val="18"/>
        </w:rPr>
        <w:t>before starting</w:t>
      </w:r>
      <w:r w:rsidRPr="00D826F8">
        <w:rPr>
          <w:rFonts w:asciiTheme="majorBidi" w:hAnsiTheme="majorBidi" w:cstheme="majorBidi"/>
          <w:sz w:val="18"/>
          <w:szCs w:val="18"/>
        </w:rPr>
        <w:t xml:space="preserve"> of TNF </w:t>
      </w:r>
      <w:r w:rsidR="00580C52" w:rsidRPr="00D826F8">
        <w:rPr>
          <w:rFonts w:asciiTheme="majorBidi" w:hAnsiTheme="majorBidi" w:cstheme="majorBidi"/>
          <w:sz w:val="18"/>
          <w:szCs w:val="18"/>
        </w:rPr>
        <w:t>blockers is</w:t>
      </w:r>
      <w:r w:rsidR="00D826F8" w:rsidRPr="00D826F8">
        <w:rPr>
          <w:rFonts w:asciiTheme="majorBidi" w:hAnsiTheme="majorBidi" w:cstheme="majorBidi"/>
          <w:sz w:val="18"/>
          <w:szCs w:val="18"/>
        </w:rPr>
        <w:t xml:space="preserve"> </w:t>
      </w:r>
      <w:r w:rsidR="00580C52" w:rsidRPr="00D826F8">
        <w:rPr>
          <w:rFonts w:asciiTheme="majorBidi" w:hAnsiTheme="majorBidi" w:cstheme="majorBidi"/>
          <w:sz w:val="18"/>
          <w:szCs w:val="18"/>
        </w:rPr>
        <w:t>not mandatory</w:t>
      </w:r>
      <w:r w:rsidRPr="00D826F8">
        <w:rPr>
          <w:rFonts w:asciiTheme="majorBidi" w:hAnsiTheme="majorBidi" w:cstheme="majorBidi"/>
          <w:sz w:val="18"/>
          <w:szCs w:val="18"/>
        </w:rPr>
        <w:t xml:space="preserve">. </w:t>
      </w:r>
    </w:p>
    <w:p w14:paraId="70B1FDB7" w14:textId="77777777" w:rsidR="001C27EF" w:rsidRPr="003F73E1" w:rsidRDefault="001C27EF" w:rsidP="00BD3D81">
      <w:pPr>
        <w:jc w:val="both"/>
        <w:rPr>
          <w:sz w:val="28"/>
          <w:szCs w:val="28"/>
        </w:rPr>
      </w:pPr>
      <w:r w:rsidRPr="003F73E1">
        <w:rPr>
          <w:sz w:val="28"/>
          <w:szCs w:val="28"/>
        </w:rPr>
        <w:t xml:space="preserve">Email: </w:t>
      </w:r>
      <w:hyperlink r:id="rId5" w:history="1">
        <w:r w:rsidRPr="00DE4A6C">
          <w:rPr>
            <w:rStyle w:val="Hyperlink"/>
            <w:sz w:val="28"/>
            <w:szCs w:val="28"/>
          </w:rPr>
          <w:t>mohaghp@yahoo.com</w:t>
        </w:r>
      </w:hyperlink>
      <w:r>
        <w:rPr>
          <w:sz w:val="28"/>
          <w:szCs w:val="28"/>
        </w:rPr>
        <w:t xml:space="preserve"> </w:t>
      </w:r>
    </w:p>
    <w:p w14:paraId="775F42E0" w14:textId="77777777" w:rsidR="00BD3D81" w:rsidRDefault="00BD3D81" w:rsidP="00BD3D81">
      <w:pPr>
        <w:jc w:val="both"/>
        <w:rPr>
          <w:lang w:bidi="fa-IR"/>
        </w:rPr>
        <w:sectPr w:rsidR="00BD3D81" w:rsidSect="00BA1353">
          <w:type w:val="continuous"/>
          <w:pgSz w:w="12240" w:h="15840"/>
          <w:pgMar w:top="1440" w:right="1440" w:bottom="1440" w:left="1440" w:header="720" w:footer="720" w:gutter="0"/>
          <w:cols w:num="2" w:space="720"/>
          <w:docGrid w:linePitch="360"/>
        </w:sectPr>
      </w:pPr>
    </w:p>
    <w:p w14:paraId="1C957840" w14:textId="77777777" w:rsidR="001C27EF" w:rsidRDefault="001C27EF" w:rsidP="00BD3D81">
      <w:pPr>
        <w:jc w:val="both"/>
        <w:rPr>
          <w:lang w:bidi="fa-IR"/>
        </w:rPr>
      </w:pPr>
    </w:p>
    <w:p w14:paraId="0F1C5EC7" w14:textId="77777777" w:rsidR="00CA3B93" w:rsidRDefault="00CA3B93" w:rsidP="00BD3D81">
      <w:pPr>
        <w:jc w:val="both"/>
        <w:rPr>
          <w:lang w:bidi="fa-IR"/>
        </w:rPr>
      </w:pPr>
    </w:p>
    <w:p w14:paraId="3BBE4274" w14:textId="77777777" w:rsidR="00CA3B93" w:rsidRDefault="00CA3B93" w:rsidP="00BD3D81">
      <w:pPr>
        <w:jc w:val="both"/>
        <w:rPr>
          <w:lang w:bidi="fa-IR"/>
        </w:rPr>
      </w:pPr>
    </w:p>
    <w:p w14:paraId="0C796D79" w14:textId="77777777" w:rsidR="00CA3B93" w:rsidRDefault="00CA3B93" w:rsidP="00BD3D81">
      <w:pPr>
        <w:jc w:val="both"/>
        <w:rPr>
          <w:rtl/>
          <w:lang w:bidi="fa-IR"/>
        </w:rPr>
      </w:pPr>
    </w:p>
    <w:sectPr w:rsidR="00CA3B93" w:rsidSect="00BA13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7EF"/>
    <w:rsid w:val="000E4A9B"/>
    <w:rsid w:val="00110D84"/>
    <w:rsid w:val="001C27EF"/>
    <w:rsid w:val="002036AC"/>
    <w:rsid w:val="003028D6"/>
    <w:rsid w:val="00360216"/>
    <w:rsid w:val="00366BC8"/>
    <w:rsid w:val="00385772"/>
    <w:rsid w:val="00567BEC"/>
    <w:rsid w:val="00580C52"/>
    <w:rsid w:val="005D0ACE"/>
    <w:rsid w:val="006B23AB"/>
    <w:rsid w:val="006D783B"/>
    <w:rsid w:val="00913CF5"/>
    <w:rsid w:val="009852C9"/>
    <w:rsid w:val="00BA1353"/>
    <w:rsid w:val="00BD3D81"/>
    <w:rsid w:val="00BF3ABE"/>
    <w:rsid w:val="00CA3B93"/>
    <w:rsid w:val="00CD6299"/>
    <w:rsid w:val="00CE4B33"/>
    <w:rsid w:val="00D0199F"/>
    <w:rsid w:val="00D826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4688"/>
  <w15:chartTrackingRefBased/>
  <w15:docId w15:val="{33E26D58-F6FC-4E85-AC58-4A0C12023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27E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C27EF"/>
    <w:rPr>
      <w:color w:val="0563C1" w:themeColor="hyperlink"/>
      <w:u w:val="single"/>
    </w:rPr>
  </w:style>
  <w:style w:type="paragraph" w:styleId="BodyText">
    <w:name w:val="Body Text"/>
    <w:basedOn w:val="Normal"/>
    <w:link w:val="BodyTextChar"/>
    <w:uiPriority w:val="99"/>
    <w:unhideWhenUsed/>
    <w:rsid w:val="00D0199F"/>
    <w:pPr>
      <w:jc w:val="both"/>
    </w:pPr>
    <w:rPr>
      <w:rFonts w:ascii="Arial" w:hAnsi="Arial" w:cs="Arial"/>
      <w:sz w:val="18"/>
      <w:szCs w:val="18"/>
    </w:rPr>
  </w:style>
  <w:style w:type="character" w:customStyle="1" w:styleId="BodyTextChar">
    <w:name w:val="Body Text Char"/>
    <w:basedOn w:val="DefaultParagraphFont"/>
    <w:link w:val="BodyText"/>
    <w:uiPriority w:val="99"/>
    <w:rsid w:val="00D0199F"/>
    <w:rPr>
      <w:rFonts w:ascii="Arial" w:hAnsi="Arial" w:cs="Arial"/>
      <w:sz w:val="18"/>
      <w:szCs w:val="18"/>
    </w:rPr>
  </w:style>
  <w:style w:type="paragraph" w:styleId="BodyText2">
    <w:name w:val="Body Text 2"/>
    <w:basedOn w:val="Normal"/>
    <w:link w:val="BodyText2Char"/>
    <w:uiPriority w:val="99"/>
    <w:unhideWhenUsed/>
    <w:rsid w:val="00CD6299"/>
    <w:rPr>
      <w:rFonts w:asciiTheme="minorBidi" w:hAnsiTheme="minorBidi"/>
      <w:sz w:val="18"/>
      <w:szCs w:val="18"/>
    </w:rPr>
  </w:style>
  <w:style w:type="character" w:customStyle="1" w:styleId="BodyText2Char">
    <w:name w:val="Body Text 2 Char"/>
    <w:basedOn w:val="DefaultParagraphFont"/>
    <w:link w:val="BodyText2"/>
    <w:uiPriority w:val="99"/>
    <w:rsid w:val="00CD6299"/>
    <w:rPr>
      <w:rFonts w:asciiTheme="minorBidi" w:hAnsi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haghp@yahoo.com"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sepehr irajpoor</cp:lastModifiedBy>
  <cp:revision>8</cp:revision>
  <dcterms:created xsi:type="dcterms:W3CDTF">2024-02-16T17:47:00Z</dcterms:created>
  <dcterms:modified xsi:type="dcterms:W3CDTF">2024-02-16T18:30:00Z</dcterms:modified>
</cp:coreProperties>
</file>