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3875" w:rsidRPr="00533875" w:rsidRDefault="00533875" w:rsidP="00533875">
      <w:pPr>
        <w:rPr>
          <w:rFonts w:ascii="Times New Roman" w:hAnsi="Times New Roman" w:cs="Times New Roman"/>
          <w:b/>
          <w:sz w:val="24"/>
          <w:szCs w:val="24"/>
        </w:rPr>
      </w:pPr>
      <w:r w:rsidRPr="00533875">
        <w:rPr>
          <w:rFonts w:ascii="Times New Roman" w:hAnsi="Times New Roman" w:cs="Times New Roman"/>
          <w:b/>
          <w:sz w:val="24"/>
          <w:szCs w:val="24"/>
        </w:rPr>
        <w:t xml:space="preserve">Immature granulocytes range is potential biomarker in peripheral </w:t>
      </w:r>
      <w:proofErr w:type="spellStart"/>
      <w:r w:rsidRPr="00533875">
        <w:rPr>
          <w:rFonts w:ascii="Times New Roman" w:hAnsi="Times New Roman" w:cs="Times New Roman"/>
          <w:b/>
          <w:sz w:val="24"/>
          <w:szCs w:val="24"/>
        </w:rPr>
        <w:t>enthesitis</w:t>
      </w:r>
      <w:proofErr w:type="spellEnd"/>
    </w:p>
    <w:p w:rsidR="00533875" w:rsidRPr="00533875" w:rsidRDefault="00533875" w:rsidP="00533875">
      <w:pPr>
        <w:rPr>
          <w:rFonts w:ascii="Times New Roman" w:hAnsi="Times New Roman" w:cs="Times New Roman"/>
          <w:sz w:val="24"/>
          <w:szCs w:val="24"/>
        </w:rPr>
      </w:pPr>
    </w:p>
    <w:p w:rsidR="00533875" w:rsidRPr="00533875" w:rsidRDefault="00533875" w:rsidP="00533875">
      <w:pPr>
        <w:rPr>
          <w:rFonts w:ascii="Times New Roman" w:hAnsi="Times New Roman" w:cs="Times New Roman"/>
          <w:sz w:val="24"/>
          <w:szCs w:val="24"/>
        </w:rPr>
      </w:pPr>
      <w:r w:rsidRPr="00533875">
        <w:rPr>
          <w:rFonts w:ascii="Times New Roman" w:hAnsi="Times New Roman" w:cs="Times New Roman"/>
          <w:sz w:val="24"/>
          <w:szCs w:val="24"/>
        </w:rPr>
        <w:t xml:space="preserve">Authors: </w:t>
      </w:r>
      <w:proofErr w:type="spellStart"/>
      <w:r w:rsidRPr="00533875">
        <w:rPr>
          <w:rFonts w:ascii="Times New Roman" w:hAnsi="Times New Roman" w:cs="Times New Roman"/>
          <w:sz w:val="24"/>
          <w:szCs w:val="24"/>
        </w:rPr>
        <w:t>Atheer</w:t>
      </w:r>
      <w:proofErr w:type="spellEnd"/>
      <w:r w:rsidRPr="00533875">
        <w:rPr>
          <w:rFonts w:ascii="Times New Roman" w:hAnsi="Times New Roman" w:cs="Times New Roman"/>
          <w:sz w:val="24"/>
          <w:szCs w:val="24"/>
        </w:rPr>
        <w:t xml:space="preserve"> Al-Ansari [1</w:t>
      </w:r>
      <w:proofErr w:type="gramStart"/>
      <w:r w:rsidRPr="00533875">
        <w:rPr>
          <w:rFonts w:ascii="Times New Roman" w:hAnsi="Times New Roman" w:cs="Times New Roman"/>
          <w:sz w:val="24"/>
          <w:szCs w:val="24"/>
        </w:rPr>
        <w:t>] ,</w:t>
      </w:r>
      <w:proofErr w:type="gramEnd"/>
      <w:r w:rsidRPr="00533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875">
        <w:rPr>
          <w:rFonts w:ascii="Times New Roman" w:hAnsi="Times New Roman" w:cs="Times New Roman"/>
          <w:sz w:val="24"/>
          <w:szCs w:val="24"/>
        </w:rPr>
        <w:t>Iman</w:t>
      </w:r>
      <w:proofErr w:type="spellEnd"/>
      <w:r w:rsidRPr="00533875">
        <w:rPr>
          <w:rFonts w:ascii="Times New Roman" w:hAnsi="Times New Roman" w:cs="Times New Roman"/>
          <w:sz w:val="24"/>
          <w:szCs w:val="24"/>
        </w:rPr>
        <w:t xml:space="preserve"> Hussein [2]</w:t>
      </w:r>
    </w:p>
    <w:p w:rsidR="00533875" w:rsidRPr="00533875" w:rsidRDefault="00533875" w:rsidP="00533875">
      <w:pPr>
        <w:rPr>
          <w:rFonts w:ascii="Times New Roman" w:hAnsi="Times New Roman" w:cs="Times New Roman"/>
          <w:sz w:val="24"/>
          <w:szCs w:val="24"/>
        </w:rPr>
      </w:pPr>
    </w:p>
    <w:p w:rsidR="00533875" w:rsidRPr="00533875" w:rsidRDefault="00533875" w:rsidP="00533875">
      <w:pPr>
        <w:rPr>
          <w:rFonts w:ascii="Times New Roman" w:hAnsi="Times New Roman" w:cs="Times New Roman"/>
          <w:sz w:val="24"/>
          <w:szCs w:val="24"/>
        </w:rPr>
      </w:pPr>
      <w:r w:rsidRPr="00533875">
        <w:rPr>
          <w:rFonts w:ascii="Times New Roman" w:hAnsi="Times New Roman" w:cs="Times New Roman"/>
          <w:b/>
          <w:sz w:val="24"/>
          <w:szCs w:val="24"/>
        </w:rPr>
        <w:t>Introduction:</w:t>
      </w:r>
      <w:r w:rsidRPr="00533875">
        <w:rPr>
          <w:rFonts w:ascii="Times New Roman" w:hAnsi="Times New Roman" w:cs="Times New Roman"/>
          <w:sz w:val="24"/>
          <w:szCs w:val="24"/>
        </w:rPr>
        <w:t xml:space="preserve"> Immature granulocytes (IG) level in peripheral blood is used as early sign of infection. On the other hand IG could </w:t>
      </w:r>
      <w:r>
        <w:rPr>
          <w:rFonts w:ascii="Times New Roman" w:hAnsi="Times New Roman" w:cs="Times New Roman"/>
          <w:sz w:val="24"/>
          <w:szCs w:val="24"/>
        </w:rPr>
        <w:t xml:space="preserve">be elevated in other conditions </w:t>
      </w:r>
      <w:r w:rsidRPr="00533875">
        <w:rPr>
          <w:rFonts w:ascii="Times New Roman" w:hAnsi="Times New Roman" w:cs="Times New Roman"/>
          <w:sz w:val="24"/>
          <w:szCs w:val="24"/>
        </w:rPr>
        <w:t xml:space="preserve">like inflammatory or cancerous diseases and in pregnancy. Similar to CRP, we have observed a series of cases of peripheral </w:t>
      </w:r>
      <w:proofErr w:type="spellStart"/>
      <w:r w:rsidRPr="00533875">
        <w:rPr>
          <w:rFonts w:ascii="Times New Roman" w:hAnsi="Times New Roman" w:cs="Times New Roman"/>
          <w:sz w:val="24"/>
          <w:szCs w:val="24"/>
        </w:rPr>
        <w:t>enthes</w:t>
      </w:r>
      <w:r>
        <w:rPr>
          <w:rFonts w:ascii="Times New Roman" w:hAnsi="Times New Roman" w:cs="Times New Roman"/>
          <w:sz w:val="24"/>
          <w:szCs w:val="24"/>
        </w:rPr>
        <w:t>itis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associated increased level </w:t>
      </w:r>
      <w:r w:rsidRPr="00533875">
        <w:rPr>
          <w:rFonts w:ascii="Times New Roman" w:hAnsi="Times New Roman" w:cs="Times New Roman"/>
          <w:sz w:val="24"/>
          <w:szCs w:val="24"/>
        </w:rPr>
        <w:t>of IG and correlated with CRP elevation and clinical activity.</w:t>
      </w:r>
    </w:p>
    <w:p w:rsidR="00533875" w:rsidRPr="00533875" w:rsidRDefault="00533875" w:rsidP="00533875">
      <w:pPr>
        <w:rPr>
          <w:rFonts w:ascii="Times New Roman" w:hAnsi="Times New Roman" w:cs="Times New Roman"/>
          <w:sz w:val="24"/>
          <w:szCs w:val="24"/>
        </w:rPr>
      </w:pPr>
      <w:r w:rsidRPr="00533875">
        <w:rPr>
          <w:rFonts w:ascii="Times New Roman" w:hAnsi="Times New Roman" w:cs="Times New Roman"/>
          <w:b/>
          <w:sz w:val="24"/>
          <w:szCs w:val="24"/>
        </w:rPr>
        <w:t>Method:</w:t>
      </w:r>
      <w:r w:rsidRPr="00533875">
        <w:rPr>
          <w:rFonts w:ascii="Times New Roman" w:hAnsi="Times New Roman" w:cs="Times New Roman"/>
          <w:sz w:val="24"/>
          <w:szCs w:val="24"/>
        </w:rPr>
        <w:t xml:space="preserve"> To test the concept of IG as a biomarker in peripheral </w:t>
      </w:r>
      <w:proofErr w:type="spellStart"/>
      <w:r w:rsidRPr="00533875">
        <w:rPr>
          <w:rFonts w:ascii="Times New Roman" w:hAnsi="Times New Roman" w:cs="Times New Roman"/>
          <w:sz w:val="24"/>
          <w:szCs w:val="24"/>
        </w:rPr>
        <w:t>enthesitis</w:t>
      </w:r>
      <w:proofErr w:type="spellEnd"/>
      <w:r w:rsidRPr="00533875">
        <w:rPr>
          <w:rFonts w:ascii="Times New Roman" w:hAnsi="Times New Roman" w:cs="Times New Roman"/>
          <w:sz w:val="24"/>
          <w:szCs w:val="24"/>
        </w:rPr>
        <w:t>, we have identified 13 cases over the last 12 months at the Rheumatology clinic in our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875">
        <w:rPr>
          <w:rFonts w:ascii="Times New Roman" w:hAnsi="Times New Roman" w:cs="Times New Roman"/>
          <w:sz w:val="24"/>
          <w:szCs w:val="24"/>
        </w:rPr>
        <w:t>centre</w:t>
      </w:r>
      <w:proofErr w:type="spellEnd"/>
      <w:r w:rsidRPr="00533875">
        <w:rPr>
          <w:rFonts w:ascii="Times New Roman" w:hAnsi="Times New Roman" w:cs="Times New Roman"/>
          <w:sz w:val="24"/>
          <w:szCs w:val="24"/>
        </w:rPr>
        <w:t xml:space="preserve"> who have shared two features (clinical </w:t>
      </w:r>
      <w:proofErr w:type="spellStart"/>
      <w:r w:rsidRPr="00533875">
        <w:rPr>
          <w:rFonts w:ascii="Times New Roman" w:hAnsi="Times New Roman" w:cs="Times New Roman"/>
          <w:sz w:val="24"/>
          <w:szCs w:val="24"/>
        </w:rPr>
        <w:t>enthesitis</w:t>
      </w:r>
      <w:proofErr w:type="spellEnd"/>
      <w:r w:rsidRPr="00533875">
        <w:rPr>
          <w:rFonts w:ascii="Times New Roman" w:hAnsi="Times New Roman" w:cs="Times New Roman"/>
          <w:sz w:val="24"/>
          <w:szCs w:val="24"/>
        </w:rPr>
        <w:t xml:space="preserve"> and elevated IG) those 13 cases presented with recurrent foot and ankle </w:t>
      </w:r>
      <w:r>
        <w:rPr>
          <w:rFonts w:ascii="Times New Roman" w:hAnsi="Times New Roman" w:cs="Times New Roman"/>
          <w:sz w:val="24"/>
          <w:szCs w:val="24"/>
        </w:rPr>
        <w:t xml:space="preserve">pain and swelling of </w:t>
      </w:r>
      <w:proofErr w:type="spellStart"/>
      <w:r>
        <w:rPr>
          <w:rFonts w:ascii="Times New Roman" w:hAnsi="Times New Roman" w:cs="Times New Roman"/>
          <w:sz w:val="24"/>
          <w:szCs w:val="24"/>
        </w:rPr>
        <w:t>enthesitis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33875">
        <w:rPr>
          <w:rFonts w:ascii="Times New Roman" w:hAnsi="Times New Roman" w:cs="Times New Roman"/>
          <w:sz w:val="24"/>
          <w:szCs w:val="24"/>
        </w:rPr>
        <w:t>nature.</w:t>
      </w:r>
    </w:p>
    <w:p w:rsidR="00533875" w:rsidRPr="00533875" w:rsidRDefault="00533875" w:rsidP="00533875">
      <w:pPr>
        <w:rPr>
          <w:rFonts w:ascii="Times New Roman" w:hAnsi="Times New Roman" w:cs="Times New Roman"/>
          <w:sz w:val="24"/>
          <w:szCs w:val="24"/>
        </w:rPr>
      </w:pPr>
      <w:r w:rsidRPr="00533875">
        <w:rPr>
          <w:rFonts w:ascii="Times New Roman" w:hAnsi="Times New Roman" w:cs="Times New Roman"/>
          <w:b/>
          <w:sz w:val="24"/>
          <w:szCs w:val="24"/>
        </w:rPr>
        <w:t>Results:</w:t>
      </w:r>
      <w:r w:rsidRPr="00533875">
        <w:rPr>
          <w:rFonts w:ascii="Times New Roman" w:hAnsi="Times New Roman" w:cs="Times New Roman"/>
          <w:sz w:val="24"/>
          <w:szCs w:val="24"/>
        </w:rPr>
        <w:t xml:space="preserve"> The cohort is of equal gender distribution 46/54 % respectively and age range 31-53 years (mean age 38.5), only 3 patie</w:t>
      </w:r>
      <w:r>
        <w:rPr>
          <w:rFonts w:ascii="Times New Roman" w:hAnsi="Times New Roman" w:cs="Times New Roman"/>
          <w:sz w:val="24"/>
          <w:szCs w:val="24"/>
        </w:rPr>
        <w:t xml:space="preserve">nts are known to have Psoriatic </w:t>
      </w:r>
      <w:r w:rsidRPr="00533875">
        <w:rPr>
          <w:rFonts w:ascii="Times New Roman" w:hAnsi="Times New Roman" w:cs="Times New Roman"/>
          <w:sz w:val="24"/>
          <w:szCs w:val="24"/>
        </w:rPr>
        <w:t>arthritis whilst the rest either undiagnosed or diagnosed Rheumatoid arthritis or gout prior to clinic visit. The rheumatologist clini</w:t>
      </w:r>
      <w:r>
        <w:rPr>
          <w:rFonts w:ascii="Times New Roman" w:hAnsi="Times New Roman" w:cs="Times New Roman"/>
          <w:sz w:val="24"/>
          <w:szCs w:val="24"/>
        </w:rPr>
        <w:t xml:space="preserve">cal diagnoses are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enthesitis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33875">
        <w:rPr>
          <w:rFonts w:ascii="Times New Roman" w:hAnsi="Times New Roman" w:cs="Times New Roman"/>
          <w:sz w:val="24"/>
          <w:szCs w:val="24"/>
        </w:rPr>
        <w:t>of foot, ankle, knee and hip area as shown on the table [1} apart from one patient who has spinal symptoms mainly. 4/13 patients ha</w:t>
      </w:r>
      <w:r>
        <w:rPr>
          <w:rFonts w:ascii="Times New Roman" w:hAnsi="Times New Roman" w:cs="Times New Roman"/>
          <w:sz w:val="24"/>
          <w:szCs w:val="24"/>
        </w:rPr>
        <w:t xml:space="preserve">ve the history of psoriasis and </w:t>
      </w:r>
      <w:r w:rsidRPr="00533875">
        <w:rPr>
          <w:rFonts w:ascii="Times New Roman" w:hAnsi="Times New Roman" w:cs="Times New Roman"/>
          <w:sz w:val="24"/>
          <w:szCs w:val="24"/>
        </w:rPr>
        <w:t>after their visits we find them fit in the CASPAR criteria for psoriatic arthritis. All these cases are associated with increased a</w:t>
      </w:r>
      <w:r>
        <w:rPr>
          <w:rFonts w:ascii="Times New Roman" w:hAnsi="Times New Roman" w:cs="Times New Roman"/>
          <w:sz w:val="24"/>
          <w:szCs w:val="24"/>
        </w:rPr>
        <w:t xml:space="preserve">bsolute number of IG as well as </w:t>
      </w:r>
      <w:r w:rsidRPr="00533875">
        <w:rPr>
          <w:rFonts w:ascii="Times New Roman" w:hAnsi="Times New Roman" w:cs="Times New Roman"/>
          <w:sz w:val="24"/>
          <w:szCs w:val="24"/>
        </w:rPr>
        <w:t xml:space="preserve">differential (IG) number compare to 10/13 of these cases are having high CRP. The 3 cases with normal CRP do have relatively </w:t>
      </w:r>
      <w:r>
        <w:rPr>
          <w:rFonts w:ascii="Times New Roman" w:hAnsi="Times New Roman" w:cs="Times New Roman"/>
          <w:sz w:val="24"/>
          <w:szCs w:val="24"/>
        </w:rPr>
        <w:t xml:space="preserve">slight increase in (IG) number. </w:t>
      </w:r>
      <w:r w:rsidRPr="00533875">
        <w:rPr>
          <w:rFonts w:ascii="Times New Roman" w:hAnsi="Times New Roman" w:cs="Times New Roman"/>
          <w:sz w:val="24"/>
          <w:szCs w:val="24"/>
        </w:rPr>
        <w:t>The main correlation is of response to therapy and was seen in 7 cases who have followed up at the time of submission and it s</w:t>
      </w:r>
      <w:r>
        <w:rPr>
          <w:rFonts w:ascii="Times New Roman" w:hAnsi="Times New Roman" w:cs="Times New Roman"/>
          <w:sz w:val="24"/>
          <w:szCs w:val="24"/>
        </w:rPr>
        <w:t xml:space="preserve">hows a 100% correlation between </w:t>
      </w:r>
      <w:r w:rsidRPr="00533875">
        <w:rPr>
          <w:rFonts w:ascii="Times New Roman" w:hAnsi="Times New Roman" w:cs="Times New Roman"/>
          <w:sz w:val="24"/>
          <w:szCs w:val="24"/>
        </w:rPr>
        <w:t xml:space="preserve">CRP, absolute (IG) and differential (IG) values. There are 3 patients who have elevated (IG) but normal CRP and it would possible </w:t>
      </w:r>
      <w:r>
        <w:rPr>
          <w:rFonts w:ascii="Times New Roman" w:hAnsi="Times New Roman" w:cs="Times New Roman"/>
          <w:sz w:val="24"/>
          <w:szCs w:val="24"/>
        </w:rPr>
        <w:t xml:space="preserve">indicate (IG) test has a better </w:t>
      </w:r>
      <w:r w:rsidRPr="00533875">
        <w:rPr>
          <w:rFonts w:ascii="Times New Roman" w:hAnsi="Times New Roman" w:cs="Times New Roman"/>
          <w:sz w:val="24"/>
          <w:szCs w:val="24"/>
        </w:rPr>
        <w:t xml:space="preserve">yield than CRP in peripheral </w:t>
      </w:r>
      <w:proofErr w:type="spellStart"/>
      <w:r w:rsidRPr="00533875">
        <w:rPr>
          <w:rFonts w:ascii="Times New Roman" w:hAnsi="Times New Roman" w:cs="Times New Roman"/>
          <w:sz w:val="24"/>
          <w:szCs w:val="24"/>
        </w:rPr>
        <w:t>enthesitis</w:t>
      </w:r>
      <w:proofErr w:type="spellEnd"/>
      <w:r w:rsidRPr="00533875">
        <w:rPr>
          <w:rFonts w:ascii="Times New Roman" w:hAnsi="Times New Roman" w:cs="Times New Roman"/>
          <w:sz w:val="24"/>
          <w:szCs w:val="24"/>
        </w:rPr>
        <w:t>.</w:t>
      </w:r>
    </w:p>
    <w:p w:rsidR="00533875" w:rsidRPr="00533875" w:rsidRDefault="00533875" w:rsidP="00533875">
      <w:pPr>
        <w:rPr>
          <w:rFonts w:ascii="Times New Roman" w:hAnsi="Times New Roman" w:cs="Times New Roman"/>
          <w:sz w:val="24"/>
          <w:szCs w:val="24"/>
        </w:rPr>
      </w:pPr>
      <w:r w:rsidRPr="00533875">
        <w:rPr>
          <w:rFonts w:ascii="Times New Roman" w:hAnsi="Times New Roman" w:cs="Times New Roman"/>
          <w:b/>
          <w:sz w:val="24"/>
          <w:szCs w:val="24"/>
        </w:rPr>
        <w:t>Conclusion:</w:t>
      </w:r>
      <w:r w:rsidRPr="00533875">
        <w:rPr>
          <w:rFonts w:ascii="Times New Roman" w:hAnsi="Times New Roman" w:cs="Times New Roman"/>
          <w:sz w:val="24"/>
          <w:szCs w:val="24"/>
        </w:rPr>
        <w:t xml:space="preserve"> Immature granulocytes can be elevated in inflammatory disease and more notably in peripheral </w:t>
      </w:r>
      <w:proofErr w:type="spellStart"/>
      <w:r w:rsidRPr="00533875">
        <w:rPr>
          <w:rFonts w:ascii="Times New Roman" w:hAnsi="Times New Roman" w:cs="Times New Roman"/>
          <w:sz w:val="24"/>
          <w:szCs w:val="24"/>
        </w:rPr>
        <w:t>enthesitis</w:t>
      </w:r>
      <w:proofErr w:type="spellEnd"/>
      <w:r w:rsidRPr="00533875">
        <w:rPr>
          <w:rFonts w:ascii="Times New Roman" w:hAnsi="Times New Roman" w:cs="Times New Roman"/>
          <w:sz w:val="24"/>
          <w:szCs w:val="24"/>
        </w:rPr>
        <w:t xml:space="preserve"> of the low</w:t>
      </w:r>
      <w:r>
        <w:rPr>
          <w:rFonts w:ascii="Times New Roman" w:hAnsi="Times New Roman" w:cs="Times New Roman"/>
          <w:sz w:val="24"/>
          <w:szCs w:val="24"/>
        </w:rPr>
        <w:t xml:space="preserve">er limbs of inflammatory rather </w:t>
      </w:r>
      <w:r w:rsidRPr="00533875">
        <w:rPr>
          <w:rFonts w:ascii="Times New Roman" w:hAnsi="Times New Roman" w:cs="Times New Roman"/>
          <w:sz w:val="24"/>
          <w:szCs w:val="24"/>
        </w:rPr>
        <w:t xml:space="preserve">than mechanical nature and do correlate with CRP elevation as well as response to therapy. Larger studies are </w:t>
      </w:r>
      <w:proofErr w:type="gramStart"/>
      <w:r w:rsidRPr="00533875">
        <w:rPr>
          <w:rFonts w:ascii="Times New Roman" w:hAnsi="Times New Roman" w:cs="Times New Roman"/>
          <w:sz w:val="24"/>
          <w:szCs w:val="24"/>
        </w:rPr>
        <w:t>need</w:t>
      </w:r>
      <w:proofErr w:type="gramEnd"/>
      <w:r w:rsidRPr="00533875">
        <w:rPr>
          <w:rFonts w:ascii="Times New Roman" w:hAnsi="Times New Roman" w:cs="Times New Roman"/>
          <w:sz w:val="24"/>
          <w:szCs w:val="24"/>
        </w:rPr>
        <w:t xml:space="preserve"> to assess the usefulness and validit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y of (IG) </w:t>
      </w:r>
      <w:r w:rsidRPr="00533875">
        <w:rPr>
          <w:rFonts w:ascii="Times New Roman" w:hAnsi="Times New Roman" w:cs="Times New Roman"/>
          <w:sz w:val="24"/>
          <w:szCs w:val="24"/>
        </w:rPr>
        <w:t>level in clinical practice.</w:t>
      </w:r>
    </w:p>
    <w:p w:rsidR="00533875" w:rsidRPr="00533875" w:rsidRDefault="00533875" w:rsidP="00533875">
      <w:pPr>
        <w:rPr>
          <w:rFonts w:ascii="Times New Roman" w:hAnsi="Times New Roman" w:cs="Times New Roman"/>
          <w:b/>
          <w:sz w:val="24"/>
          <w:szCs w:val="24"/>
        </w:rPr>
      </w:pPr>
      <w:r w:rsidRPr="00533875">
        <w:rPr>
          <w:rFonts w:ascii="Times New Roman" w:hAnsi="Times New Roman" w:cs="Times New Roman"/>
          <w:b/>
          <w:sz w:val="24"/>
          <w:szCs w:val="24"/>
        </w:rPr>
        <w:t>Reference:</w:t>
      </w:r>
    </w:p>
    <w:p w:rsidR="00533875" w:rsidRPr="00533875" w:rsidRDefault="00533875" w:rsidP="00533875">
      <w:pPr>
        <w:rPr>
          <w:rFonts w:ascii="Times New Roman" w:hAnsi="Times New Roman" w:cs="Times New Roman"/>
          <w:sz w:val="24"/>
          <w:szCs w:val="24"/>
        </w:rPr>
      </w:pPr>
      <w:r w:rsidRPr="00533875">
        <w:rPr>
          <w:rFonts w:ascii="Times New Roman" w:hAnsi="Times New Roman" w:cs="Times New Roman"/>
          <w:sz w:val="24"/>
          <w:szCs w:val="24"/>
        </w:rPr>
        <w:t xml:space="preserve">1-Salvarani c et al, Isolated peripheral </w:t>
      </w:r>
      <w:proofErr w:type="spellStart"/>
      <w:r w:rsidRPr="00533875">
        <w:rPr>
          <w:rFonts w:ascii="Times New Roman" w:hAnsi="Times New Roman" w:cs="Times New Roman"/>
          <w:sz w:val="24"/>
          <w:szCs w:val="24"/>
        </w:rPr>
        <w:t>enthesitis</w:t>
      </w:r>
      <w:proofErr w:type="spellEnd"/>
      <w:r w:rsidRPr="00533875">
        <w:rPr>
          <w:rFonts w:ascii="Times New Roman" w:hAnsi="Times New Roman" w:cs="Times New Roman"/>
          <w:sz w:val="24"/>
          <w:szCs w:val="24"/>
        </w:rPr>
        <w:t xml:space="preserve"> and/or </w:t>
      </w:r>
      <w:proofErr w:type="spellStart"/>
      <w:r w:rsidRPr="00533875">
        <w:rPr>
          <w:rFonts w:ascii="Times New Roman" w:hAnsi="Times New Roman" w:cs="Times New Roman"/>
          <w:sz w:val="24"/>
          <w:szCs w:val="24"/>
        </w:rPr>
        <w:t>dactylitis</w:t>
      </w:r>
      <w:proofErr w:type="spellEnd"/>
      <w:r w:rsidRPr="00533875">
        <w:rPr>
          <w:rFonts w:ascii="Times New Roman" w:hAnsi="Times New Roman" w:cs="Times New Roman"/>
          <w:sz w:val="24"/>
          <w:szCs w:val="24"/>
        </w:rPr>
        <w:t xml:space="preserve">: a subset of psoriatic arthritis, J </w:t>
      </w:r>
      <w:proofErr w:type="spellStart"/>
      <w:r w:rsidRPr="00533875">
        <w:rPr>
          <w:rFonts w:ascii="Times New Roman" w:hAnsi="Times New Roman" w:cs="Times New Roman"/>
          <w:sz w:val="24"/>
          <w:szCs w:val="24"/>
        </w:rPr>
        <w:t>Rheumatol</w:t>
      </w:r>
      <w:proofErr w:type="spellEnd"/>
      <w:r w:rsidRPr="00533875">
        <w:rPr>
          <w:rFonts w:ascii="Times New Roman" w:hAnsi="Times New Roman" w:cs="Times New Roman"/>
          <w:sz w:val="24"/>
          <w:szCs w:val="24"/>
        </w:rPr>
        <w:t>.  1997 Jun</w:t>
      </w:r>
      <w:proofErr w:type="gramStart"/>
      <w:r w:rsidRPr="00533875">
        <w:rPr>
          <w:rFonts w:ascii="Times New Roman" w:hAnsi="Times New Roman" w:cs="Times New Roman"/>
          <w:sz w:val="24"/>
          <w:szCs w:val="24"/>
        </w:rPr>
        <w:t>;24</w:t>
      </w:r>
      <w:proofErr w:type="gramEnd"/>
      <w:r w:rsidRPr="00533875">
        <w:rPr>
          <w:rFonts w:ascii="Times New Roman" w:hAnsi="Times New Roman" w:cs="Times New Roman"/>
          <w:sz w:val="24"/>
          <w:szCs w:val="24"/>
        </w:rPr>
        <w:t>(6):1106-10</w:t>
      </w:r>
    </w:p>
    <w:p w:rsidR="00533875" w:rsidRPr="00533875" w:rsidRDefault="00533875" w:rsidP="00533875">
      <w:pPr>
        <w:rPr>
          <w:rFonts w:ascii="Times New Roman" w:hAnsi="Times New Roman" w:cs="Times New Roman"/>
          <w:sz w:val="24"/>
          <w:szCs w:val="24"/>
        </w:rPr>
      </w:pPr>
      <w:r w:rsidRPr="00533875">
        <w:rPr>
          <w:rFonts w:ascii="Times New Roman" w:hAnsi="Times New Roman" w:cs="Times New Roman"/>
          <w:sz w:val="24"/>
          <w:szCs w:val="24"/>
        </w:rPr>
        <w:lastRenderedPageBreak/>
        <w:t xml:space="preserve">2-Rudwaleit M et al, The Assessment of </w:t>
      </w:r>
      <w:proofErr w:type="spellStart"/>
      <w:r w:rsidRPr="00533875">
        <w:rPr>
          <w:rFonts w:ascii="Times New Roman" w:hAnsi="Times New Roman" w:cs="Times New Roman"/>
          <w:sz w:val="24"/>
          <w:szCs w:val="24"/>
        </w:rPr>
        <w:t>SpondyloArthritis</w:t>
      </w:r>
      <w:proofErr w:type="spellEnd"/>
      <w:r w:rsidRPr="00533875">
        <w:rPr>
          <w:rFonts w:ascii="Times New Roman" w:hAnsi="Times New Roman" w:cs="Times New Roman"/>
          <w:sz w:val="24"/>
          <w:szCs w:val="24"/>
        </w:rPr>
        <w:t xml:space="preserve"> International Society classification criteria for peripheral </w:t>
      </w:r>
      <w:proofErr w:type="spellStart"/>
      <w:r w:rsidRPr="00533875">
        <w:rPr>
          <w:rFonts w:ascii="Times New Roman" w:hAnsi="Times New Roman" w:cs="Times New Roman"/>
          <w:sz w:val="24"/>
          <w:szCs w:val="24"/>
        </w:rPr>
        <w:t>spondyloarthritis</w:t>
      </w:r>
      <w:proofErr w:type="spellEnd"/>
      <w:r w:rsidRPr="00533875">
        <w:rPr>
          <w:rFonts w:ascii="Times New Roman" w:hAnsi="Times New Roman" w:cs="Times New Roman"/>
          <w:sz w:val="24"/>
          <w:szCs w:val="24"/>
        </w:rPr>
        <w:t xml:space="preserve"> and for</w:t>
      </w:r>
    </w:p>
    <w:p w:rsidR="00533875" w:rsidRPr="00533875" w:rsidRDefault="00533875" w:rsidP="00533875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533875">
        <w:rPr>
          <w:rFonts w:ascii="Times New Roman" w:hAnsi="Times New Roman" w:cs="Times New Roman"/>
          <w:sz w:val="24"/>
          <w:szCs w:val="24"/>
        </w:rPr>
        <w:t>spondyloarthritis</w:t>
      </w:r>
      <w:proofErr w:type="spellEnd"/>
      <w:proofErr w:type="gramEnd"/>
      <w:r w:rsidRPr="0053387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533875">
        <w:rPr>
          <w:rFonts w:ascii="Times New Roman" w:hAnsi="Times New Roman" w:cs="Times New Roman"/>
          <w:sz w:val="24"/>
          <w:szCs w:val="24"/>
        </w:rPr>
        <w:t>genera</w:t>
      </w:r>
      <w:proofErr w:type="spellEnd"/>
      <w:r w:rsidRPr="00533875">
        <w:rPr>
          <w:rFonts w:ascii="Times New Roman" w:hAnsi="Times New Roman" w:cs="Times New Roman"/>
          <w:sz w:val="24"/>
          <w:szCs w:val="24"/>
        </w:rPr>
        <w:t>, Ann Rheum Dis. 2011;70(1):25</w:t>
      </w:r>
    </w:p>
    <w:p w:rsidR="00533875" w:rsidRPr="00533875" w:rsidRDefault="00533875" w:rsidP="00533875">
      <w:pPr>
        <w:rPr>
          <w:rFonts w:ascii="Times New Roman" w:hAnsi="Times New Roman" w:cs="Times New Roman"/>
          <w:sz w:val="24"/>
          <w:szCs w:val="24"/>
        </w:rPr>
      </w:pPr>
      <w:r w:rsidRPr="00533875">
        <w:rPr>
          <w:rFonts w:ascii="Times New Roman" w:hAnsi="Times New Roman" w:cs="Times New Roman"/>
          <w:sz w:val="24"/>
          <w:szCs w:val="24"/>
        </w:rPr>
        <w:t>3--Moots R et al, Low‐density granulocytes: functionally distinct, immature neutrophils in rheumatoid arthritis with altered properties and defective TNF</w:t>
      </w:r>
    </w:p>
    <w:p w:rsidR="009655AC" w:rsidRPr="00533875" w:rsidRDefault="00533875" w:rsidP="00533875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33875">
        <w:rPr>
          <w:rFonts w:ascii="Times New Roman" w:hAnsi="Times New Roman" w:cs="Times New Roman"/>
          <w:sz w:val="24"/>
          <w:szCs w:val="24"/>
        </w:rPr>
        <w:t>signaling</w:t>
      </w:r>
      <w:proofErr w:type="gramEnd"/>
      <w:r w:rsidRPr="00533875">
        <w:rPr>
          <w:rFonts w:ascii="Times New Roman" w:hAnsi="Times New Roman" w:cs="Times New Roman"/>
          <w:sz w:val="24"/>
          <w:szCs w:val="24"/>
        </w:rPr>
        <w:t>, Translational &amp;amp; Clinical Immunology 2016 https://doi.org/10.1189/jlb.5A0116-022R</w:t>
      </w:r>
    </w:p>
    <w:sectPr w:rsidR="009655AC" w:rsidRPr="005338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875"/>
    <w:rsid w:val="00533875"/>
    <w:rsid w:val="00965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185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02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74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1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8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8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7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0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0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93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4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3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9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0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6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5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2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8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2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8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8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4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virology-2021</dc:creator>
  <cp:lastModifiedBy>virology-2021</cp:lastModifiedBy>
  <cp:revision>1</cp:revision>
  <dcterms:created xsi:type="dcterms:W3CDTF">2023-11-14T08:16:00Z</dcterms:created>
  <dcterms:modified xsi:type="dcterms:W3CDTF">2023-11-14T08:22:00Z</dcterms:modified>
</cp:coreProperties>
</file>