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399CE4" w14:textId="1A657A02" w:rsidR="00AA1B64" w:rsidRDefault="00BA5496" w:rsidP="005D30D7">
      <w:pPr>
        <w:shd w:val="clear" w:color="auto" w:fill="FFFFFF"/>
        <w:spacing w:after="75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A5496">
        <w:rPr>
          <w:rFonts w:ascii="Times New Roman" w:hAnsi="Times New Roman" w:cs="Times New Roman"/>
          <w:b/>
          <w:sz w:val="24"/>
          <w:szCs w:val="24"/>
          <w:lang w:val="en-US"/>
        </w:rPr>
        <w:t>ANTI–MULLER HORMONE</w:t>
      </w:r>
      <w:r w:rsidRPr="00A5403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A1B64" w:rsidRPr="00AA1B64">
        <w:rPr>
          <w:rFonts w:ascii="Times New Roman" w:hAnsi="Times New Roman" w:cs="Times New Roman"/>
          <w:b/>
          <w:sz w:val="24"/>
          <w:szCs w:val="24"/>
          <w:lang w:val="en-US"/>
        </w:rPr>
        <w:t>IN BEHCET’S DISEASE</w:t>
      </w:r>
    </w:p>
    <w:p w14:paraId="0CBEA491" w14:textId="1A05E13B" w:rsidR="005D30D7" w:rsidRPr="005D30D7" w:rsidRDefault="005D30D7" w:rsidP="005D30D7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  <w:r w:rsidRPr="00A6766F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Regina </w:t>
      </w:r>
      <w:proofErr w:type="spellStart"/>
      <w:r w:rsidRPr="005E1AC4">
        <w:rPr>
          <w:rFonts w:ascii="Times New Roman" w:hAnsi="Times New Roman" w:cs="Times New Roman"/>
          <w:b/>
          <w:sz w:val="24"/>
          <w:szCs w:val="24"/>
          <w:lang w:val="en-US" w:eastAsia="ru-RU"/>
        </w:rPr>
        <w:t>Goloeva</w:t>
      </w:r>
      <w:proofErr w:type="spellEnd"/>
      <w:r w:rsidRPr="005E1AC4">
        <w:rPr>
          <w:rFonts w:ascii="Times New Roman" w:hAnsi="Times New Roman" w:cs="Times New Roman"/>
          <w:b/>
          <w:sz w:val="24"/>
          <w:szCs w:val="24"/>
          <w:lang w:val="en-US"/>
        </w:rPr>
        <w:t>,</w:t>
      </w:r>
      <w:r w:rsidRPr="005E1AC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5D30D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Zemfira</w:t>
      </w:r>
      <w:proofErr w:type="spellEnd"/>
      <w:r w:rsidRPr="005D30D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5D30D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Alekberova</w:t>
      </w:r>
      <w:proofErr w:type="spellEnd"/>
      <w:r w:rsidRPr="005D30D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, </w:t>
      </w:r>
      <w:r w:rsidR="00BA549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Maria Cherkasova.</w:t>
      </w:r>
      <w:bookmarkStart w:id="0" w:name="_GoBack"/>
      <w:bookmarkEnd w:id="0"/>
    </w:p>
    <w:p w14:paraId="31DAB23D" w14:textId="618A053C" w:rsidR="008024EA" w:rsidRPr="008024EA" w:rsidRDefault="008024EA" w:rsidP="008024E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024E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VA </w:t>
      </w:r>
      <w:proofErr w:type="spellStart"/>
      <w:r w:rsidRPr="008024E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Nasonova</w:t>
      </w:r>
      <w:proofErr w:type="spellEnd"/>
      <w:r w:rsidRPr="008024E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Research Institute of Rheumatology, Moscow </w:t>
      </w:r>
    </w:p>
    <w:p w14:paraId="5951EC09" w14:textId="7B777A83" w:rsidR="008024EA" w:rsidRDefault="005D30D7" w:rsidP="00E33BE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5D30D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ru-RU"/>
        </w:rPr>
        <w:t>Background: </w:t>
      </w:r>
      <w:proofErr w:type="spellStart"/>
      <w:r w:rsidR="00AA1B64" w:rsidRPr="004656C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Behcet’s</w:t>
      </w:r>
      <w:proofErr w:type="spellEnd"/>
      <w:r w:rsidR="00AA1B64" w:rsidRPr="004656C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disease (BD) is </w:t>
      </w:r>
      <w:r w:rsidR="00AA1B6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a </w:t>
      </w:r>
      <w:r w:rsidR="00AA1B64" w:rsidRPr="004656C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multisystemic disease of unknown cause. </w:t>
      </w:r>
      <w:r w:rsidR="00AA1B64" w:rsidRPr="004656CE">
        <w:rPr>
          <w:rFonts w:ascii="Times New Roman" w:hAnsi="Times New Roman"/>
          <w:sz w:val="24"/>
          <w:szCs w:val="24"/>
          <w:lang w:val="en-US"/>
        </w:rPr>
        <w:t>Anti-Mullerian hormone (AMH) is one of the key parameters for assessing reproductive function and ovarian reserve. The level</w:t>
      </w:r>
      <w:r w:rsidR="00AA1B64">
        <w:rPr>
          <w:rFonts w:ascii="Times New Roman" w:hAnsi="Times New Roman"/>
          <w:sz w:val="24"/>
          <w:szCs w:val="24"/>
          <w:lang w:val="en-US"/>
        </w:rPr>
        <w:t>s</w:t>
      </w:r>
      <w:r w:rsidR="00AA1B64" w:rsidRPr="004656CE">
        <w:rPr>
          <w:rFonts w:ascii="Times New Roman" w:hAnsi="Times New Roman"/>
          <w:sz w:val="24"/>
          <w:szCs w:val="24"/>
          <w:lang w:val="en-US"/>
        </w:rPr>
        <w:t xml:space="preserve"> of AMH correlates with the residual follicular pool in women of reproductive age</w:t>
      </w:r>
      <w:r w:rsidR="008024EA" w:rsidRPr="00D607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14:paraId="18358C89" w14:textId="666369B2" w:rsidR="008024EA" w:rsidRDefault="005D30D7" w:rsidP="008024E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5D30D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ru-RU"/>
        </w:rPr>
        <w:t>Objectives: </w:t>
      </w:r>
      <w:r w:rsidR="00AA1B64" w:rsidRPr="00A82FC1">
        <w:rPr>
          <w:rFonts w:ascii="Times New Roman" w:hAnsi="Times New Roman"/>
          <w:sz w:val="24"/>
          <w:szCs w:val="24"/>
          <w:lang w:val="en-US"/>
        </w:rPr>
        <w:t>To assess AMH levels in BD female patients of child-bearing potential, and analyze the relationship between AMH levels and disease severity, as well as relationship between serum AMH levels and different therapeutic regimens</w:t>
      </w:r>
      <w:r w:rsidR="008024EA" w:rsidRPr="00D607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14:paraId="4C0BC561" w14:textId="376F0A94" w:rsidR="005D30D7" w:rsidRPr="005D30D7" w:rsidRDefault="005D30D7" w:rsidP="008024E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 w:rsidRPr="005D30D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ru-RU"/>
        </w:rPr>
        <w:t>Methods: </w:t>
      </w:r>
      <w:bookmarkStart w:id="1" w:name="_Hlk93927216"/>
      <w:r w:rsidR="00AA1B64" w:rsidRPr="00A82FC1">
        <w:rPr>
          <w:rFonts w:ascii="Times New Roman" w:hAnsi="Times New Roman" w:cs="Times New Roman"/>
          <w:sz w:val="24"/>
          <w:szCs w:val="24"/>
          <w:lang w:val="en-US"/>
        </w:rPr>
        <w:t>The study group included 45 women with BD (</w:t>
      </w:r>
      <w:r w:rsidR="00AA1B64" w:rsidRPr="00A82FC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according to ISGBD 1990 and ICBD 2014) </w:t>
      </w:r>
      <w:r w:rsidR="00AA1B64" w:rsidRPr="00A82FC1">
        <w:rPr>
          <w:rFonts w:ascii="Times New Roman" w:hAnsi="Times New Roman" w:cs="Times New Roman"/>
          <w:sz w:val="24"/>
          <w:szCs w:val="24"/>
          <w:lang w:val="en-US"/>
        </w:rPr>
        <w:t>aged 20-40 years, and the control group</w:t>
      </w:r>
      <w:r w:rsidR="00AA1B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A1B64">
        <w:rPr>
          <w:rFonts w:ascii="Times New Roman" w:hAnsi="Times New Roman" w:cs="Times New Roman"/>
          <w:sz w:val="24"/>
          <w:szCs w:val="24"/>
          <w:lang w:val="en-US"/>
        </w:rPr>
        <w:t>icluded</w:t>
      </w:r>
      <w:proofErr w:type="spellEnd"/>
      <w:r w:rsidR="00AA1B64" w:rsidRPr="00A82FC1">
        <w:rPr>
          <w:rFonts w:ascii="Times New Roman" w:hAnsi="Times New Roman" w:cs="Times New Roman"/>
          <w:sz w:val="24"/>
          <w:szCs w:val="24"/>
          <w:lang w:val="en-US"/>
        </w:rPr>
        <w:t xml:space="preserve"> 15 age-matching healthy women. </w:t>
      </w:r>
      <w:r w:rsidR="00AA1B64" w:rsidRPr="00A82FC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Pts’ mean age was </w:t>
      </w:r>
      <w:r w:rsidR="00AA1B64" w:rsidRPr="00A82FC1">
        <w:rPr>
          <w:rFonts w:ascii="Times New Roman" w:hAnsi="Times New Roman" w:cs="Times New Roman"/>
          <w:sz w:val="24"/>
          <w:szCs w:val="24"/>
          <w:lang w:val="en-US"/>
        </w:rPr>
        <w:t xml:space="preserve">31,3 [27;35] </w:t>
      </w:r>
      <w:proofErr w:type="spellStart"/>
      <w:r w:rsidR="00AA1B64" w:rsidRPr="00A82FC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yrs</w:t>
      </w:r>
      <w:proofErr w:type="spellEnd"/>
      <w:r w:rsidR="00AA1B64" w:rsidRPr="00A82FC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disease duration </w:t>
      </w:r>
      <w:r w:rsidR="00AA1B64" w:rsidRPr="00A82FC1">
        <w:rPr>
          <w:rFonts w:ascii="Times New Roman" w:hAnsi="Times New Roman" w:cs="Times New Roman"/>
          <w:sz w:val="24"/>
          <w:szCs w:val="24"/>
          <w:lang w:val="en-US"/>
        </w:rPr>
        <w:t xml:space="preserve">6 [3;8] </w:t>
      </w:r>
      <w:r w:rsidR="00AA1B64" w:rsidRPr="00A82FC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yrs. 1</w:t>
      </w:r>
      <w:r w:rsidR="00AA1B64" w:rsidRPr="00A82FC1">
        <w:rPr>
          <w:rFonts w:ascii="Times New Roman" w:hAnsi="Times New Roman" w:cs="Times New Roman"/>
          <w:sz w:val="24"/>
          <w:szCs w:val="24"/>
          <w:lang w:val="en-US"/>
        </w:rPr>
        <w:t>7,8%</w:t>
      </w:r>
      <w:r w:rsidR="00AA1B64" w:rsidRPr="00A82FC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pts</w:t>
      </w:r>
      <w:r w:rsidR="00AA1B6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had s</w:t>
      </w:r>
      <w:r w:rsidR="00AA1B64" w:rsidRPr="00A82FC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evere BD according to </w:t>
      </w:r>
      <w:proofErr w:type="spellStart"/>
      <w:proofErr w:type="gramStart"/>
      <w:r w:rsidR="00AA1B64" w:rsidRPr="00A82FC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Ch.Zouboulis</w:t>
      </w:r>
      <w:proofErr w:type="spellEnd"/>
      <w:proofErr w:type="gramEnd"/>
      <w:r w:rsidR="00AA1B64" w:rsidRPr="00A82FC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classification (due to generalized uveitis, retinal vasculitis and parenchymatous CNS lesions), </w:t>
      </w:r>
      <w:r w:rsidR="00AA1B64" w:rsidRPr="00A82FC1">
        <w:rPr>
          <w:rFonts w:ascii="Times New Roman" w:hAnsi="Times New Roman" w:cs="Times New Roman"/>
          <w:sz w:val="24"/>
          <w:szCs w:val="24"/>
          <w:lang w:val="en-US"/>
        </w:rPr>
        <w:t xml:space="preserve">37,8% </w:t>
      </w:r>
      <w:r w:rsidR="00AA1B64" w:rsidRPr="00A82FC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pts had </w:t>
      </w:r>
      <w:r w:rsidR="00AA1B6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a </w:t>
      </w:r>
      <w:r w:rsidR="00AA1B64" w:rsidRPr="00A82FC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moderate disease, 44</w:t>
      </w:r>
      <w:r w:rsidR="00AA1B64" w:rsidRPr="00A82FC1">
        <w:rPr>
          <w:rFonts w:ascii="Times New Roman" w:hAnsi="Times New Roman" w:cs="Times New Roman"/>
          <w:sz w:val="24"/>
          <w:szCs w:val="24"/>
          <w:lang w:val="en-US"/>
        </w:rPr>
        <w:t>,4</w:t>
      </w:r>
      <w:r w:rsidR="00AA1B64" w:rsidRPr="00A82FC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% pts had</w:t>
      </w:r>
      <w:r w:rsidR="00AA1B6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</w:t>
      </w:r>
      <w:r w:rsidR="00AA1B64" w:rsidRPr="00A82FC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mild disease with mainly dermal-mucous manifestations. </w:t>
      </w:r>
      <w:r w:rsidR="00AA1B64" w:rsidRPr="00A82FC1">
        <w:rPr>
          <w:rFonts w:ascii="Times New Roman" w:hAnsi="Times New Roman" w:cs="Times New Roman"/>
          <w:sz w:val="24"/>
          <w:szCs w:val="24"/>
          <w:lang w:val="en-US"/>
        </w:rPr>
        <w:t>AMH levels was measured using ELISA. AMH reference values ranged within 1.0-10.6 ng / ml. Values &lt;1.0 were interpreted as a decreased ovarian reserve</w:t>
      </w:r>
      <w:r w:rsidRPr="005D30D7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.</w:t>
      </w:r>
      <w:bookmarkEnd w:id="1"/>
      <w:r w:rsidRPr="005D30D7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</w:p>
    <w:p w14:paraId="4FBCC459" w14:textId="77777777" w:rsidR="00AA1B64" w:rsidRPr="00A82FC1" w:rsidRDefault="005D30D7" w:rsidP="00AA1B64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D30D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ru-RU"/>
        </w:rPr>
        <w:t>Results: </w:t>
      </w:r>
      <w:bookmarkStart w:id="2" w:name="_Hlk93927337"/>
      <w:r w:rsidR="00AA1B64">
        <w:rPr>
          <w:rFonts w:ascii="Times New Roman" w:hAnsi="Times New Roman" w:cs="Times New Roman"/>
          <w:sz w:val="24"/>
          <w:szCs w:val="24"/>
          <w:lang w:val="en-US"/>
        </w:rPr>
        <w:t>The m</w:t>
      </w:r>
      <w:r w:rsidR="00AA1B64" w:rsidRPr="00A82FC1">
        <w:rPr>
          <w:rFonts w:ascii="Times New Roman" w:hAnsi="Times New Roman" w:cs="Times New Roman"/>
          <w:sz w:val="24"/>
          <w:szCs w:val="24"/>
          <w:lang w:val="en-US"/>
        </w:rPr>
        <w:t>ean level</w:t>
      </w:r>
      <w:r w:rsidR="00AA1B64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AA1B64" w:rsidRPr="00A82FC1">
        <w:rPr>
          <w:rFonts w:ascii="Times New Roman" w:hAnsi="Times New Roman" w:cs="Times New Roman"/>
          <w:sz w:val="24"/>
          <w:szCs w:val="24"/>
          <w:lang w:val="en-US"/>
        </w:rPr>
        <w:t xml:space="preserve"> AMH was 2.5 ng/ml in BD pts, and 3.1 ng/ml in control group, showing no statistical difference. A decrease in ovarian reserve (AMH less than 1.0 ng/ml) was observed with the same frequency 18% in patient’s vs</w:t>
      </w:r>
      <w:r w:rsidR="00AA1B64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AA1B64" w:rsidRPr="00A82FC1">
        <w:rPr>
          <w:rFonts w:ascii="Times New Roman" w:hAnsi="Times New Roman" w:cs="Times New Roman"/>
          <w:sz w:val="24"/>
          <w:szCs w:val="24"/>
          <w:lang w:val="en-US"/>
        </w:rPr>
        <w:t xml:space="preserve"> in control group 13%. </w:t>
      </w:r>
    </w:p>
    <w:p w14:paraId="17C55E54" w14:textId="77777777" w:rsidR="00AA1B64" w:rsidRPr="00A82FC1" w:rsidRDefault="00AA1B64" w:rsidP="00AA1B64">
      <w:pPr>
        <w:shd w:val="clear" w:color="auto" w:fill="FFFFFF"/>
        <w:spacing w:after="75" w:line="240" w:lineRule="auto"/>
        <w:rPr>
          <w:rFonts w:ascii="Times New Roman" w:hAnsi="Times New Roman"/>
          <w:sz w:val="24"/>
          <w:szCs w:val="24"/>
          <w:lang w:val="en-US"/>
        </w:rPr>
      </w:pPr>
      <w:r w:rsidRPr="00A82FC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In the analysis of AMH, depending on the severity of BD, a decrease in ovarian reserve was more often observed in patients with moderate and severe forms of BD.</w:t>
      </w:r>
      <w:r w:rsidRPr="00A82FC1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14:paraId="09C087BF" w14:textId="77777777" w:rsidR="00AA1B64" w:rsidRPr="00B77A7F" w:rsidRDefault="00AA1B64" w:rsidP="00AA1B64">
      <w:pPr>
        <w:ind w:firstLine="360"/>
        <w:rPr>
          <w:rFonts w:ascii="Times New Roman" w:hAnsi="Times New Roman"/>
          <w:sz w:val="24"/>
          <w:szCs w:val="24"/>
        </w:rPr>
      </w:pPr>
      <w:proofErr w:type="spellStart"/>
      <w:r w:rsidRPr="00B77A7F">
        <w:rPr>
          <w:rFonts w:ascii="Times New Roman" w:hAnsi="Times New Roman"/>
          <w:sz w:val="24"/>
          <w:szCs w:val="24"/>
          <w:lang w:val="en-US"/>
        </w:rPr>
        <w:t>Tabl</w:t>
      </w:r>
      <w:proofErr w:type="spellEnd"/>
      <w:r w:rsidRPr="00B77A7F">
        <w:rPr>
          <w:rFonts w:ascii="Times New Roman" w:hAnsi="Times New Roman"/>
          <w:sz w:val="24"/>
          <w:szCs w:val="24"/>
        </w:rPr>
        <w:t xml:space="preserve">.1 - </w:t>
      </w:r>
      <w:r w:rsidRPr="00B77A7F">
        <w:rPr>
          <w:rFonts w:ascii="Times New Roman" w:hAnsi="Times New Roman"/>
          <w:sz w:val="24"/>
          <w:szCs w:val="24"/>
          <w:lang w:val="en-US"/>
        </w:rPr>
        <w:t>AMH</w:t>
      </w:r>
      <w:r w:rsidRPr="00B77A7F">
        <w:rPr>
          <w:rFonts w:ascii="Times New Roman" w:hAnsi="Times New Roman"/>
          <w:sz w:val="24"/>
          <w:szCs w:val="24"/>
        </w:rPr>
        <w:t xml:space="preserve"> </w:t>
      </w:r>
      <w:r w:rsidRPr="00B77A7F">
        <w:rPr>
          <w:rFonts w:ascii="Times New Roman" w:hAnsi="Times New Roman"/>
          <w:sz w:val="24"/>
          <w:szCs w:val="24"/>
          <w:lang w:val="en-US"/>
        </w:rPr>
        <w:t xml:space="preserve">and </w:t>
      </w:r>
      <w:r w:rsidRPr="00B77A7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severe BD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20"/>
        <w:gridCol w:w="1648"/>
        <w:gridCol w:w="2549"/>
        <w:gridCol w:w="1622"/>
        <w:gridCol w:w="1206"/>
      </w:tblGrid>
      <w:tr w:rsidR="00AA1B64" w:rsidRPr="00AC5977" w14:paraId="7A444903" w14:textId="77777777" w:rsidTr="00CA37D7">
        <w:tc>
          <w:tcPr>
            <w:tcW w:w="1241" w:type="pct"/>
          </w:tcPr>
          <w:p w14:paraId="3A246BF3" w14:textId="77777777" w:rsidR="00AA1B64" w:rsidRPr="00A63EB4" w:rsidRDefault="00AA1B64" w:rsidP="00CA37D7">
            <w:pPr>
              <w:rPr>
                <w:rFonts w:ascii="Times New Roman" w:hAnsi="Times New Roman"/>
                <w:sz w:val="24"/>
                <w:szCs w:val="24"/>
              </w:rPr>
            </w:pPr>
            <w:r w:rsidRPr="00A63EB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severe</w:t>
            </w:r>
          </w:p>
        </w:tc>
        <w:tc>
          <w:tcPr>
            <w:tcW w:w="881" w:type="pct"/>
          </w:tcPr>
          <w:p w14:paraId="224E20A5" w14:textId="77777777" w:rsidR="00AA1B64" w:rsidRPr="00A63EB4" w:rsidRDefault="00AA1B64" w:rsidP="00CA37D7">
            <w:pPr>
              <w:rPr>
                <w:rFonts w:ascii="Times New Roman" w:hAnsi="Times New Roman"/>
                <w:sz w:val="24"/>
                <w:szCs w:val="24"/>
              </w:rPr>
            </w:pPr>
            <w:r w:rsidRPr="00A63EB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mild</w:t>
            </w:r>
            <w:r w:rsidRPr="00A63EB4">
              <w:rPr>
                <w:rFonts w:ascii="Times New Roman" w:hAnsi="Times New Roman"/>
                <w:sz w:val="24"/>
                <w:szCs w:val="24"/>
              </w:rPr>
              <w:t>,</w:t>
            </w:r>
            <w:r w:rsidRPr="00A63EB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n</w:t>
            </w:r>
            <w:r w:rsidRPr="00A63EB4">
              <w:rPr>
                <w:rFonts w:ascii="Times New Roman" w:hAnsi="Times New Roman"/>
                <w:sz w:val="24"/>
                <w:szCs w:val="24"/>
              </w:rPr>
              <w:t>=20</w:t>
            </w:r>
          </w:p>
        </w:tc>
        <w:tc>
          <w:tcPr>
            <w:tcW w:w="1364" w:type="pct"/>
          </w:tcPr>
          <w:p w14:paraId="2A472BD7" w14:textId="77777777" w:rsidR="00AA1B64" w:rsidRPr="00A63EB4" w:rsidRDefault="00AA1B64" w:rsidP="00CA37D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63EB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moderate disease</w:t>
            </w:r>
            <w:r w:rsidRPr="00A63EB4">
              <w:rPr>
                <w:rFonts w:ascii="Times New Roman" w:hAnsi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63EB4">
              <w:rPr>
                <w:rFonts w:ascii="Times New Roman" w:hAnsi="Times New Roman"/>
                <w:sz w:val="24"/>
                <w:szCs w:val="24"/>
                <w:lang w:val="en-US"/>
              </w:rPr>
              <w:t>n=17</w:t>
            </w:r>
          </w:p>
        </w:tc>
        <w:tc>
          <w:tcPr>
            <w:tcW w:w="868" w:type="pct"/>
          </w:tcPr>
          <w:p w14:paraId="07699F0A" w14:textId="77777777" w:rsidR="00AA1B64" w:rsidRPr="00A63EB4" w:rsidRDefault="00AA1B64" w:rsidP="00CA37D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63EB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severe</w:t>
            </w:r>
            <w:r w:rsidRPr="00A63EB4">
              <w:rPr>
                <w:rFonts w:ascii="Times New Roman" w:hAnsi="Times New Roman"/>
                <w:sz w:val="24"/>
                <w:szCs w:val="24"/>
                <w:lang w:val="en-US"/>
              </w:rPr>
              <w:t>, n=</w:t>
            </w:r>
            <w:r w:rsidRPr="00A63E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63EB4"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645" w:type="pct"/>
          </w:tcPr>
          <w:p w14:paraId="7A07047E" w14:textId="77777777" w:rsidR="00AA1B64" w:rsidRPr="00A63EB4" w:rsidRDefault="00AA1B64" w:rsidP="00CA37D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63EB4">
              <w:rPr>
                <w:rFonts w:ascii="Times New Roman" w:hAnsi="Times New Roman"/>
                <w:sz w:val="24"/>
                <w:szCs w:val="24"/>
                <w:lang w:val="en-US"/>
              </w:rPr>
              <w:t>p</w:t>
            </w:r>
          </w:p>
        </w:tc>
      </w:tr>
      <w:tr w:rsidR="00AA1B64" w:rsidRPr="00AC5977" w14:paraId="6FA4101E" w14:textId="77777777" w:rsidTr="00CA37D7">
        <w:tc>
          <w:tcPr>
            <w:tcW w:w="1241" w:type="pct"/>
          </w:tcPr>
          <w:p w14:paraId="28B1E004" w14:textId="77777777" w:rsidR="00AA1B64" w:rsidRPr="00802CCF" w:rsidRDefault="00AA1B64" w:rsidP="00CA37D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63EB4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MH</w:t>
            </w:r>
          </w:p>
        </w:tc>
        <w:tc>
          <w:tcPr>
            <w:tcW w:w="881" w:type="pct"/>
          </w:tcPr>
          <w:p w14:paraId="4AEBD0E5" w14:textId="77777777" w:rsidR="00AA1B64" w:rsidRPr="00A63EB4" w:rsidRDefault="00AA1B64" w:rsidP="00CA37D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63EB4">
              <w:rPr>
                <w:rFonts w:ascii="Times New Roman" w:hAnsi="Times New Roman"/>
                <w:sz w:val="24"/>
                <w:szCs w:val="24"/>
                <w:lang w:val="en-US"/>
              </w:rPr>
              <w:t>2,7</w:t>
            </w:r>
            <w:r w:rsidRPr="00A63E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63EB4">
              <w:rPr>
                <w:rFonts w:ascii="Times New Roman" w:hAnsi="Times New Roman"/>
                <w:sz w:val="24"/>
                <w:szCs w:val="24"/>
                <w:lang w:val="en-US"/>
              </w:rPr>
              <w:t>[1,6-3,5]</w:t>
            </w:r>
          </w:p>
        </w:tc>
        <w:tc>
          <w:tcPr>
            <w:tcW w:w="1364" w:type="pct"/>
          </w:tcPr>
          <w:p w14:paraId="53B9BA0E" w14:textId="77777777" w:rsidR="00AA1B64" w:rsidRPr="00A63EB4" w:rsidRDefault="00AA1B64" w:rsidP="00CA37D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63EB4">
              <w:rPr>
                <w:rFonts w:ascii="Times New Roman" w:hAnsi="Times New Roman"/>
                <w:sz w:val="24"/>
                <w:szCs w:val="24"/>
                <w:lang w:val="en-US"/>
              </w:rPr>
              <w:t>2,5</w:t>
            </w:r>
            <w:r w:rsidRPr="00A63E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63EB4">
              <w:rPr>
                <w:rFonts w:ascii="Times New Roman" w:hAnsi="Times New Roman"/>
                <w:sz w:val="24"/>
                <w:szCs w:val="24"/>
                <w:lang w:val="en-US"/>
              </w:rPr>
              <w:t>[1,0-3,7]</w:t>
            </w:r>
          </w:p>
        </w:tc>
        <w:tc>
          <w:tcPr>
            <w:tcW w:w="868" w:type="pct"/>
          </w:tcPr>
          <w:p w14:paraId="17239543" w14:textId="77777777" w:rsidR="00AA1B64" w:rsidRPr="00A63EB4" w:rsidRDefault="00AA1B64" w:rsidP="00CA37D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63EB4">
              <w:rPr>
                <w:rFonts w:ascii="Times New Roman" w:hAnsi="Times New Roman"/>
                <w:sz w:val="24"/>
                <w:szCs w:val="24"/>
                <w:lang w:val="en-US"/>
              </w:rPr>
              <w:t>1,9 [0,8;6,7]</w:t>
            </w:r>
          </w:p>
        </w:tc>
        <w:tc>
          <w:tcPr>
            <w:tcW w:w="645" w:type="pct"/>
          </w:tcPr>
          <w:p w14:paraId="4B21ED93" w14:textId="77777777" w:rsidR="00AA1B64" w:rsidRPr="00A63EB4" w:rsidRDefault="00AA1B64" w:rsidP="00CA37D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63EB4">
              <w:rPr>
                <w:rFonts w:ascii="Times New Roman" w:hAnsi="Times New Roman"/>
                <w:sz w:val="24"/>
                <w:szCs w:val="24"/>
                <w:lang w:val="en-US"/>
              </w:rPr>
              <w:t>ns</w:t>
            </w:r>
          </w:p>
        </w:tc>
      </w:tr>
      <w:tr w:rsidR="00AA1B64" w:rsidRPr="00AC5977" w14:paraId="294BB424" w14:textId="77777777" w:rsidTr="00CA37D7">
        <w:tc>
          <w:tcPr>
            <w:tcW w:w="1241" w:type="pct"/>
          </w:tcPr>
          <w:p w14:paraId="040B4870" w14:textId="77777777" w:rsidR="00AA1B64" w:rsidRPr="00A63EB4" w:rsidRDefault="00AA1B64" w:rsidP="00CA37D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63EB4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MH</w:t>
            </w:r>
            <w:r w:rsidRPr="00A63E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63EB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&gt;1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ng</w:t>
            </w:r>
            <w:r w:rsidRPr="00A63EB4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ml</w:t>
            </w:r>
            <w:r w:rsidRPr="00A63EB4">
              <w:rPr>
                <w:rFonts w:ascii="Times New Roman" w:hAnsi="Times New Roman"/>
                <w:sz w:val="24"/>
                <w:szCs w:val="24"/>
                <w:lang w:val="en-US"/>
              </w:rPr>
              <w:t>, %</w:t>
            </w:r>
          </w:p>
        </w:tc>
        <w:tc>
          <w:tcPr>
            <w:tcW w:w="881" w:type="pct"/>
          </w:tcPr>
          <w:p w14:paraId="3FE695C7" w14:textId="77777777" w:rsidR="00AA1B64" w:rsidRPr="00A63EB4" w:rsidRDefault="00AA1B64" w:rsidP="00CA37D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63EB4">
              <w:rPr>
                <w:rFonts w:ascii="Times New Roman" w:hAnsi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364" w:type="pct"/>
          </w:tcPr>
          <w:p w14:paraId="0C0CC9C4" w14:textId="77777777" w:rsidR="00AA1B64" w:rsidRPr="00A63EB4" w:rsidRDefault="00AA1B64" w:rsidP="00CA37D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63EB4">
              <w:rPr>
                <w:rFonts w:ascii="Times New Roman" w:hAnsi="Times New Roman"/>
                <w:sz w:val="24"/>
                <w:szCs w:val="24"/>
                <w:lang w:val="en-US"/>
              </w:rPr>
              <w:t>23</w:t>
            </w:r>
          </w:p>
        </w:tc>
        <w:tc>
          <w:tcPr>
            <w:tcW w:w="868" w:type="pct"/>
          </w:tcPr>
          <w:p w14:paraId="61A508D7" w14:textId="77777777" w:rsidR="00AA1B64" w:rsidRPr="00A63EB4" w:rsidRDefault="00AA1B64" w:rsidP="00CA37D7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63EB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25 </w:t>
            </w:r>
          </w:p>
        </w:tc>
        <w:tc>
          <w:tcPr>
            <w:tcW w:w="645" w:type="pct"/>
          </w:tcPr>
          <w:p w14:paraId="1351197E" w14:textId="77777777" w:rsidR="00AA1B64" w:rsidRPr="00A63EB4" w:rsidRDefault="00AA1B64" w:rsidP="00CA37D7">
            <w:pPr>
              <w:rPr>
                <w:rFonts w:ascii="Times New Roman" w:hAnsi="Times New Roman"/>
                <w:sz w:val="24"/>
                <w:szCs w:val="24"/>
              </w:rPr>
            </w:pPr>
            <w:r w:rsidRPr="00A63EB4">
              <w:rPr>
                <w:rFonts w:ascii="Times New Roman" w:hAnsi="Times New Roman"/>
                <w:sz w:val="24"/>
                <w:szCs w:val="24"/>
                <w:lang w:val="en-US"/>
              </w:rPr>
              <w:t>0,02</w:t>
            </w:r>
          </w:p>
        </w:tc>
      </w:tr>
    </w:tbl>
    <w:p w14:paraId="584A99DA" w14:textId="77777777" w:rsidR="00AA1B64" w:rsidRDefault="00AA1B64" w:rsidP="00AA1B64">
      <w:pPr>
        <w:shd w:val="clear" w:color="auto" w:fill="FFFFFF"/>
        <w:spacing w:after="75" w:line="240" w:lineRule="auto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FE4666">
        <w:rPr>
          <w:rFonts w:ascii="Times New Roman" w:hAnsi="Times New Roman"/>
          <w:color w:val="000000"/>
          <w:sz w:val="24"/>
          <w:szCs w:val="24"/>
          <w:lang w:val="en-US"/>
        </w:rPr>
        <w:t xml:space="preserve">There are no correlations of 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 xml:space="preserve">levels </w:t>
      </w:r>
      <w:r w:rsidRPr="00FE4666">
        <w:rPr>
          <w:rFonts w:ascii="Times New Roman" w:hAnsi="Times New Roman"/>
          <w:color w:val="000000"/>
          <w:sz w:val="24"/>
          <w:szCs w:val="24"/>
          <w:lang w:val="en-US"/>
        </w:rPr>
        <w:t>AMH with</w:t>
      </w:r>
      <w:r w:rsidRPr="00B77A7F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FE4666">
        <w:rPr>
          <w:rFonts w:ascii="Times New Roman" w:hAnsi="Times New Roman"/>
          <w:color w:val="000000"/>
          <w:sz w:val="24"/>
          <w:szCs w:val="24"/>
          <w:lang w:val="en-US"/>
        </w:rPr>
        <w:t>treatment of B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>D</w:t>
      </w:r>
      <w:r w:rsidRPr="00FE4666">
        <w:rPr>
          <w:rFonts w:ascii="Times New Roman" w:hAnsi="Times New Roman"/>
          <w:color w:val="000000"/>
          <w:sz w:val="24"/>
          <w:szCs w:val="24"/>
          <w:lang w:val="en-US"/>
        </w:rPr>
        <w:t xml:space="preserve">. </w:t>
      </w:r>
    </w:p>
    <w:p w14:paraId="40FD12B1" w14:textId="77777777" w:rsidR="00AA1B64" w:rsidRPr="00055B2E" w:rsidRDefault="00AA1B64" w:rsidP="00AA1B64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055B2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A decrease in ovarian reserve was noted in two patients under 30 years old, one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was </w:t>
      </w:r>
      <w:r w:rsidRPr="00055B2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29 years old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woman </w:t>
      </w:r>
      <w:r w:rsidRPr="00055B2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with “</w:t>
      </w:r>
      <w:proofErr w:type="spellStart"/>
      <w:r w:rsidRPr="00055B2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Neurobehcet</w:t>
      </w:r>
      <w:proofErr w:type="spellEnd"/>
      <w:r w:rsidRPr="00055B2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”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with </w:t>
      </w:r>
      <w:r w:rsidRPr="00055B2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two children, and the patient with BB+AS was not married, had no pregnancies, and received colchicine therapy for a long time. Two BD patients with low AMH had no pregnancies - unmarried, all other patients with reduced ovarian reserve had from 1 to 6 children.</w:t>
      </w:r>
    </w:p>
    <w:p w14:paraId="6F9DC8C8" w14:textId="1B8919A8" w:rsidR="005D30D7" w:rsidRPr="005D30D7" w:rsidRDefault="00AA1B64" w:rsidP="00AA1B64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 w:rsidRPr="00055B2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When analyzing the level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 of</w:t>
      </w:r>
      <w:r w:rsidRPr="00055B2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AMH with the clinical picture and BD therapy, no correlations were found</w:t>
      </w:r>
      <w:r w:rsidR="008024E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bookmarkEnd w:id="2"/>
    <w:p w14:paraId="4DB3FADA" w14:textId="77777777" w:rsidR="00BA1D99" w:rsidRDefault="005D30D7" w:rsidP="005D30D7">
      <w:pPr>
        <w:shd w:val="clear" w:color="auto" w:fill="FFFFFF"/>
        <w:spacing w:after="75" w:line="240" w:lineRule="auto"/>
        <w:rPr>
          <w:rFonts w:ascii="Helvetica" w:eastAsia="Times New Roman" w:hAnsi="Helvetica" w:cs="Times New Roman"/>
          <w:b/>
          <w:bCs/>
          <w:color w:val="333333"/>
          <w:sz w:val="18"/>
          <w:szCs w:val="18"/>
          <w:lang w:val="en-US" w:eastAsia="ru-RU"/>
        </w:rPr>
      </w:pPr>
      <w:r w:rsidRPr="005D30D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ru-RU"/>
        </w:rPr>
        <w:t>Conclusion: </w:t>
      </w:r>
      <w:bookmarkStart w:id="3" w:name="_Hlk93927366"/>
      <w:r w:rsidR="00AA1B64" w:rsidRPr="00055B2E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The average level</w:t>
      </w:r>
      <w:r w:rsidR="00AA1B64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s</w:t>
      </w:r>
      <w:r w:rsidR="00AA1B64" w:rsidRPr="00055B2E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 xml:space="preserve"> of AMH in women with BD and in the </w:t>
      </w:r>
      <w:proofErr w:type="gramStart"/>
      <w:r w:rsidR="00AA1B64" w:rsidRPr="00055B2E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control</w:t>
      </w:r>
      <w:proofErr w:type="gramEnd"/>
      <w:r w:rsidR="00AA1B64" w:rsidRPr="00055B2E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 xml:space="preserve"> group did not differ. A decrease in ovarian reserve (AMH less than 1.0 ng/ml) occurred with the same frequency in patients with BD and </w:t>
      </w:r>
      <w:r w:rsidR="00AA1B64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controls</w:t>
      </w:r>
      <w:r w:rsidR="00AA1B64" w:rsidRPr="00055B2E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. A decrease in ovarian reserve was more often observed in patients with moderate and severe BD</w:t>
      </w:r>
      <w:r w:rsidR="00E33BEB" w:rsidRPr="00E33BEB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val="en-US" w:eastAsia="ru-RU"/>
        </w:rPr>
        <w:t>.</w:t>
      </w:r>
      <w:r w:rsidRPr="005D30D7">
        <w:rPr>
          <w:rFonts w:ascii="Helvetica" w:eastAsia="Times New Roman" w:hAnsi="Helvetica" w:cs="Times New Roman"/>
          <w:color w:val="333333"/>
          <w:sz w:val="18"/>
          <w:szCs w:val="18"/>
          <w:lang w:val="en-US" w:eastAsia="ru-RU"/>
        </w:rPr>
        <w:br/>
      </w:r>
      <w:bookmarkEnd w:id="3"/>
    </w:p>
    <w:p w14:paraId="58E0F929" w14:textId="43AFE369" w:rsidR="005D30D7" w:rsidRPr="005D30D7" w:rsidRDefault="005D30D7" w:rsidP="005D30D7">
      <w:pPr>
        <w:shd w:val="clear" w:color="auto" w:fill="FFFFFF"/>
        <w:spacing w:after="75" w:line="240" w:lineRule="auto"/>
        <w:rPr>
          <w:rFonts w:ascii="Helvetica" w:eastAsia="Times New Roman" w:hAnsi="Helvetica" w:cs="Times New Roman"/>
          <w:color w:val="333333"/>
          <w:sz w:val="18"/>
          <w:szCs w:val="18"/>
          <w:lang w:val="en-US" w:eastAsia="ru-RU"/>
        </w:rPr>
      </w:pPr>
      <w:r w:rsidRPr="005D30D7">
        <w:rPr>
          <w:rFonts w:ascii="Helvetica" w:eastAsia="Times New Roman" w:hAnsi="Helvetica" w:cs="Times New Roman"/>
          <w:b/>
          <w:bCs/>
          <w:color w:val="333333"/>
          <w:sz w:val="18"/>
          <w:szCs w:val="18"/>
          <w:lang w:val="en-US" w:eastAsia="ru-RU"/>
        </w:rPr>
        <w:t>REFERENCE:</w:t>
      </w:r>
    </w:p>
    <w:p w14:paraId="49C37A41" w14:textId="77777777" w:rsidR="005D30D7" w:rsidRPr="008024EA" w:rsidRDefault="005D30D7" w:rsidP="005D30D7">
      <w:pPr>
        <w:shd w:val="clear" w:color="auto" w:fill="FFFFFF"/>
        <w:spacing w:after="75" w:line="240" w:lineRule="auto"/>
        <w:rPr>
          <w:rFonts w:ascii="Helvetica" w:eastAsia="Times New Roman" w:hAnsi="Helvetica" w:cs="Times New Roman"/>
          <w:color w:val="333333"/>
          <w:sz w:val="18"/>
          <w:szCs w:val="18"/>
          <w:lang w:val="en-US" w:eastAsia="ru-RU"/>
        </w:rPr>
      </w:pPr>
      <w:bookmarkStart w:id="4" w:name="_Hlk93927385"/>
      <w:r w:rsidRPr="005D30D7">
        <w:rPr>
          <w:rFonts w:ascii="Helvetica" w:eastAsia="Times New Roman" w:hAnsi="Helvetica" w:cs="Times New Roman"/>
          <w:color w:val="333333"/>
          <w:sz w:val="18"/>
          <w:szCs w:val="18"/>
          <w:lang w:val="en-US" w:eastAsia="ru-RU"/>
        </w:rPr>
        <w:t xml:space="preserve">[1] </w:t>
      </w:r>
      <w:proofErr w:type="spellStart"/>
      <w:r w:rsidRPr="005D30D7">
        <w:rPr>
          <w:rFonts w:ascii="Helvetica" w:eastAsia="Times New Roman" w:hAnsi="Helvetica" w:cs="Times New Roman"/>
          <w:color w:val="333333"/>
          <w:sz w:val="18"/>
          <w:szCs w:val="18"/>
          <w:lang w:val="en-US" w:eastAsia="ru-RU"/>
        </w:rPr>
        <w:t>Zouboulis</w:t>
      </w:r>
      <w:proofErr w:type="spellEnd"/>
      <w:r w:rsidRPr="005D30D7">
        <w:rPr>
          <w:rFonts w:ascii="Helvetica" w:eastAsia="Times New Roman" w:hAnsi="Helvetica" w:cs="Times New Roman"/>
          <w:color w:val="333333"/>
          <w:sz w:val="18"/>
          <w:szCs w:val="18"/>
          <w:lang w:val="en-US" w:eastAsia="ru-RU"/>
        </w:rPr>
        <w:t xml:space="preserve"> C., </w:t>
      </w:r>
      <w:proofErr w:type="spellStart"/>
      <w:r w:rsidRPr="005D30D7">
        <w:rPr>
          <w:rFonts w:ascii="Helvetica" w:eastAsia="Times New Roman" w:hAnsi="Helvetica" w:cs="Times New Roman"/>
          <w:color w:val="333333"/>
          <w:sz w:val="18"/>
          <w:szCs w:val="18"/>
          <w:lang w:val="en-US" w:eastAsia="ru-RU"/>
        </w:rPr>
        <w:t>Vaiopoulos</w:t>
      </w:r>
      <w:proofErr w:type="spellEnd"/>
      <w:r w:rsidRPr="005D30D7">
        <w:rPr>
          <w:rFonts w:ascii="Helvetica" w:eastAsia="Times New Roman" w:hAnsi="Helvetica" w:cs="Times New Roman"/>
          <w:color w:val="333333"/>
          <w:sz w:val="18"/>
          <w:szCs w:val="18"/>
          <w:lang w:val="en-US" w:eastAsia="ru-RU"/>
        </w:rPr>
        <w:t xml:space="preserve"> G., </w:t>
      </w:r>
      <w:proofErr w:type="spellStart"/>
      <w:r w:rsidRPr="005D30D7">
        <w:rPr>
          <w:rFonts w:ascii="Helvetica" w:eastAsia="Times New Roman" w:hAnsi="Helvetica" w:cs="Times New Roman"/>
          <w:color w:val="333333"/>
          <w:sz w:val="18"/>
          <w:szCs w:val="18"/>
          <w:lang w:val="en-US" w:eastAsia="ru-RU"/>
        </w:rPr>
        <w:t>Macromichelakis</w:t>
      </w:r>
      <w:proofErr w:type="spellEnd"/>
      <w:r w:rsidRPr="005D30D7">
        <w:rPr>
          <w:rFonts w:ascii="Helvetica" w:eastAsia="Times New Roman" w:hAnsi="Helvetica" w:cs="Times New Roman"/>
          <w:color w:val="333333"/>
          <w:sz w:val="18"/>
          <w:szCs w:val="18"/>
          <w:lang w:val="en-US" w:eastAsia="ru-RU"/>
        </w:rPr>
        <w:t xml:space="preserve"> N. et al. Onset signs, clinical course, prognosis, treatment and outcome of adult patients with </w:t>
      </w:r>
      <w:proofErr w:type="spellStart"/>
      <w:r w:rsidRPr="005D30D7">
        <w:rPr>
          <w:rFonts w:ascii="Helvetica" w:eastAsia="Times New Roman" w:hAnsi="Helvetica" w:cs="Times New Roman"/>
          <w:color w:val="333333"/>
          <w:sz w:val="18"/>
          <w:szCs w:val="18"/>
          <w:lang w:val="en-US" w:eastAsia="ru-RU"/>
        </w:rPr>
        <w:t>Adamantiades</w:t>
      </w:r>
      <w:proofErr w:type="spellEnd"/>
      <w:r w:rsidRPr="005D30D7">
        <w:rPr>
          <w:rFonts w:ascii="Helvetica" w:eastAsia="Times New Roman" w:hAnsi="Helvetica" w:cs="Times New Roman"/>
          <w:color w:val="333333"/>
          <w:sz w:val="18"/>
          <w:szCs w:val="18"/>
          <w:lang w:val="en-US" w:eastAsia="ru-RU"/>
        </w:rPr>
        <w:t xml:space="preserve"> – </w:t>
      </w:r>
      <w:proofErr w:type="spellStart"/>
      <w:r w:rsidRPr="005D30D7">
        <w:rPr>
          <w:rFonts w:ascii="Helvetica" w:eastAsia="Times New Roman" w:hAnsi="Helvetica" w:cs="Times New Roman"/>
          <w:color w:val="333333"/>
          <w:sz w:val="18"/>
          <w:szCs w:val="18"/>
          <w:lang w:val="en-US" w:eastAsia="ru-RU"/>
        </w:rPr>
        <w:t>Behcet’s</w:t>
      </w:r>
      <w:proofErr w:type="spellEnd"/>
      <w:r w:rsidRPr="005D30D7">
        <w:rPr>
          <w:rFonts w:ascii="Helvetica" w:eastAsia="Times New Roman" w:hAnsi="Helvetica" w:cs="Times New Roman"/>
          <w:color w:val="333333"/>
          <w:sz w:val="18"/>
          <w:szCs w:val="18"/>
          <w:lang w:val="en-US" w:eastAsia="ru-RU"/>
        </w:rPr>
        <w:t xml:space="preserve"> disease in Greece. </w:t>
      </w:r>
      <w:proofErr w:type="gramStart"/>
      <w:r w:rsidRPr="005D30D7">
        <w:rPr>
          <w:rFonts w:ascii="Helvetica" w:eastAsia="Times New Roman" w:hAnsi="Helvetica" w:cs="Times New Roman"/>
          <w:color w:val="333333"/>
          <w:sz w:val="18"/>
          <w:szCs w:val="18"/>
          <w:lang w:val="en-US" w:eastAsia="ru-RU"/>
        </w:rPr>
        <w:t>Clin</w:t>
      </w:r>
      <w:r w:rsidRPr="008024EA">
        <w:rPr>
          <w:rFonts w:ascii="Helvetica" w:eastAsia="Times New Roman" w:hAnsi="Helvetica" w:cs="Times New Roman"/>
          <w:color w:val="333333"/>
          <w:sz w:val="18"/>
          <w:szCs w:val="18"/>
          <w:lang w:val="en-US" w:eastAsia="ru-RU"/>
        </w:rPr>
        <w:t>.</w:t>
      </w:r>
      <w:r w:rsidRPr="005D30D7">
        <w:rPr>
          <w:rFonts w:ascii="Helvetica" w:eastAsia="Times New Roman" w:hAnsi="Helvetica" w:cs="Times New Roman"/>
          <w:color w:val="333333"/>
          <w:sz w:val="18"/>
          <w:szCs w:val="18"/>
          <w:lang w:val="en-US" w:eastAsia="ru-RU"/>
        </w:rPr>
        <w:t>Exp</w:t>
      </w:r>
      <w:r w:rsidRPr="008024EA">
        <w:rPr>
          <w:rFonts w:ascii="Helvetica" w:eastAsia="Times New Roman" w:hAnsi="Helvetica" w:cs="Times New Roman"/>
          <w:color w:val="333333"/>
          <w:sz w:val="18"/>
          <w:szCs w:val="18"/>
          <w:lang w:val="en-US" w:eastAsia="ru-RU"/>
        </w:rPr>
        <w:t>.</w:t>
      </w:r>
      <w:r w:rsidRPr="005D30D7">
        <w:rPr>
          <w:rFonts w:ascii="Helvetica" w:eastAsia="Times New Roman" w:hAnsi="Helvetica" w:cs="Times New Roman"/>
          <w:color w:val="333333"/>
          <w:sz w:val="18"/>
          <w:szCs w:val="18"/>
          <w:lang w:val="en-US" w:eastAsia="ru-RU"/>
        </w:rPr>
        <w:t>Rheum</w:t>
      </w:r>
      <w:proofErr w:type="gramEnd"/>
      <w:r w:rsidRPr="008024EA">
        <w:rPr>
          <w:rFonts w:ascii="Helvetica" w:eastAsia="Times New Roman" w:hAnsi="Helvetica" w:cs="Times New Roman"/>
          <w:color w:val="333333"/>
          <w:sz w:val="18"/>
          <w:szCs w:val="18"/>
          <w:lang w:val="en-US" w:eastAsia="ru-RU"/>
        </w:rPr>
        <w:t>.2003, 21, (</w:t>
      </w:r>
      <w:r w:rsidRPr="005D30D7">
        <w:rPr>
          <w:rFonts w:ascii="Helvetica" w:eastAsia="Times New Roman" w:hAnsi="Helvetica" w:cs="Times New Roman"/>
          <w:color w:val="333333"/>
          <w:sz w:val="18"/>
          <w:szCs w:val="18"/>
          <w:lang w:val="en-US" w:eastAsia="ru-RU"/>
        </w:rPr>
        <w:t>suppl</w:t>
      </w:r>
      <w:r w:rsidRPr="008024EA">
        <w:rPr>
          <w:rFonts w:ascii="Helvetica" w:eastAsia="Times New Roman" w:hAnsi="Helvetica" w:cs="Times New Roman"/>
          <w:color w:val="333333"/>
          <w:sz w:val="18"/>
          <w:szCs w:val="18"/>
          <w:lang w:val="en-US" w:eastAsia="ru-RU"/>
        </w:rPr>
        <w:t xml:space="preserve">.30) </w:t>
      </w:r>
      <w:r w:rsidRPr="005D30D7">
        <w:rPr>
          <w:rFonts w:ascii="Helvetica" w:eastAsia="Times New Roman" w:hAnsi="Helvetica" w:cs="Times New Roman"/>
          <w:color w:val="333333"/>
          <w:sz w:val="18"/>
          <w:szCs w:val="18"/>
          <w:lang w:val="en-US" w:eastAsia="ru-RU"/>
        </w:rPr>
        <w:t>S</w:t>
      </w:r>
      <w:r w:rsidRPr="008024EA">
        <w:rPr>
          <w:rFonts w:ascii="Helvetica" w:eastAsia="Times New Roman" w:hAnsi="Helvetica" w:cs="Times New Roman"/>
          <w:color w:val="333333"/>
          <w:sz w:val="18"/>
          <w:szCs w:val="18"/>
          <w:lang w:val="en-US" w:eastAsia="ru-RU"/>
        </w:rPr>
        <w:t>19-</w:t>
      </w:r>
      <w:r w:rsidRPr="005D30D7">
        <w:rPr>
          <w:rFonts w:ascii="Helvetica" w:eastAsia="Times New Roman" w:hAnsi="Helvetica" w:cs="Times New Roman"/>
          <w:color w:val="333333"/>
          <w:sz w:val="18"/>
          <w:szCs w:val="18"/>
          <w:lang w:val="en-US" w:eastAsia="ru-RU"/>
        </w:rPr>
        <w:t>S</w:t>
      </w:r>
      <w:r w:rsidRPr="008024EA">
        <w:rPr>
          <w:rFonts w:ascii="Helvetica" w:eastAsia="Times New Roman" w:hAnsi="Helvetica" w:cs="Times New Roman"/>
          <w:color w:val="333333"/>
          <w:sz w:val="18"/>
          <w:szCs w:val="18"/>
          <w:lang w:val="en-US" w:eastAsia="ru-RU"/>
        </w:rPr>
        <w:t>26.</w:t>
      </w:r>
      <w:bookmarkEnd w:id="4"/>
    </w:p>
    <w:sectPr w:rsidR="005D30D7" w:rsidRPr="008024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C9D"/>
    <w:rsid w:val="001472B2"/>
    <w:rsid w:val="001C79B5"/>
    <w:rsid w:val="0041523E"/>
    <w:rsid w:val="00441192"/>
    <w:rsid w:val="0055328E"/>
    <w:rsid w:val="005D30D7"/>
    <w:rsid w:val="005E1AC4"/>
    <w:rsid w:val="00604C40"/>
    <w:rsid w:val="00704C9D"/>
    <w:rsid w:val="00745C24"/>
    <w:rsid w:val="007A3305"/>
    <w:rsid w:val="008024EA"/>
    <w:rsid w:val="00986B0B"/>
    <w:rsid w:val="0099296B"/>
    <w:rsid w:val="00A2777F"/>
    <w:rsid w:val="00A6766F"/>
    <w:rsid w:val="00AA1B64"/>
    <w:rsid w:val="00AC44A0"/>
    <w:rsid w:val="00BA1D99"/>
    <w:rsid w:val="00BA5496"/>
    <w:rsid w:val="00C8551B"/>
    <w:rsid w:val="00D41F86"/>
    <w:rsid w:val="00E303FD"/>
    <w:rsid w:val="00E33BEB"/>
    <w:rsid w:val="00F62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D3219"/>
  <w15:chartTrackingRefBased/>
  <w15:docId w15:val="{541CC803-C302-49A8-8F20-774B9971E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33BE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763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84622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9076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95679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450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2022-05-30T14:47:00Z</dcterms:created>
  <dcterms:modified xsi:type="dcterms:W3CDTF">2023-04-19T12:37:00Z</dcterms:modified>
</cp:coreProperties>
</file>