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E096D" w14:textId="1F154AB3" w:rsidR="00AE3E37" w:rsidRPr="0035338B" w:rsidRDefault="0035338B" w:rsidP="0035338B">
      <w:pPr>
        <w:pStyle w:val="Default"/>
        <w:spacing w:after="200" w:line="481" w:lineRule="atLeast"/>
        <w:ind w:right="840"/>
        <w:rPr>
          <w:sz w:val="48"/>
          <w:szCs w:val="48"/>
        </w:rPr>
      </w:pPr>
      <w:r>
        <w:rPr>
          <w:sz w:val="48"/>
          <w:szCs w:val="48"/>
        </w:rPr>
        <w:t>Predictive factors for residual leg numbness after decompression surgery for lumbar degenerative diseases</w:t>
      </w:r>
    </w:p>
    <w:p w14:paraId="1DB894CE" w14:textId="77777777" w:rsidR="0035338B" w:rsidRPr="0035338B" w:rsidRDefault="0035338B" w:rsidP="0035338B">
      <w:pPr>
        <w:autoSpaceDE w:val="0"/>
        <w:autoSpaceDN w:val="0"/>
        <w:adjustRightInd w:val="0"/>
        <w:spacing w:before="200" w:line="221" w:lineRule="atLeast"/>
        <w:rPr>
          <w:rFonts w:ascii="Myriad Pro Light" w:eastAsiaTheme="minorEastAsia" w:hAnsi="Myriad Pro Light" w:cs="Myriad Pro Light"/>
          <w:color w:val="000000"/>
          <w:sz w:val="15"/>
          <w:szCs w:val="15"/>
        </w:rPr>
      </w:pPr>
      <w:r w:rsidRPr="0035338B">
        <w:rPr>
          <w:rFonts w:ascii="Myriad Pro Light" w:eastAsiaTheme="minorEastAsia" w:hAnsi="Myriad Pro Light" w:cs="Myriad Pro Light"/>
          <w:color w:val="000000"/>
        </w:rPr>
        <w:t>TaoZou</w:t>
      </w:r>
      <w:r w:rsidRPr="0035338B">
        <w:rPr>
          <w:rFonts w:ascii="Myriad Pro Light" w:eastAsiaTheme="minorEastAsia" w:hAnsi="Myriad Pro Light" w:cs="Myriad Pro Light"/>
          <w:color w:val="000000"/>
          <w:sz w:val="15"/>
          <w:szCs w:val="15"/>
        </w:rPr>
        <w:t>1</w:t>
      </w:r>
      <w:r w:rsidRPr="0035338B">
        <w:rPr>
          <w:rFonts w:ascii="Myriad Pro Light" w:eastAsiaTheme="minorEastAsia" w:hAnsi="Myriad Pro Light" w:cs="Myriad Pro Light"/>
          <w:color w:val="000000"/>
        </w:rPr>
        <w:t>, Hao Chen</w:t>
      </w:r>
      <w:r w:rsidRPr="0035338B">
        <w:rPr>
          <w:rFonts w:ascii="Myriad Pro Light" w:eastAsiaTheme="minorEastAsia" w:hAnsi="Myriad Pro Light" w:cs="Myriad Pro Light"/>
          <w:color w:val="000000"/>
          <w:sz w:val="15"/>
          <w:szCs w:val="15"/>
        </w:rPr>
        <w:t>1</w:t>
      </w:r>
      <w:r w:rsidRPr="0035338B">
        <w:rPr>
          <w:rFonts w:ascii="Myriad Pro Light" w:eastAsiaTheme="minorEastAsia" w:hAnsi="Myriad Pro Light" w:cs="Myriad Pro Light"/>
          <w:color w:val="000000"/>
        </w:rPr>
        <w:t>, Ping-ChuanWang</w:t>
      </w:r>
      <w:r w:rsidRPr="0035338B">
        <w:rPr>
          <w:rFonts w:ascii="Myriad Pro Light" w:eastAsiaTheme="minorEastAsia" w:hAnsi="Myriad Pro Light" w:cs="Myriad Pro Light"/>
          <w:color w:val="000000"/>
          <w:sz w:val="15"/>
          <w:szCs w:val="15"/>
        </w:rPr>
        <w:t>1</w:t>
      </w:r>
      <w:r w:rsidRPr="0035338B">
        <w:rPr>
          <w:rFonts w:ascii="Myriad Pro Light" w:eastAsiaTheme="minorEastAsia" w:hAnsi="Myriad Pro Light" w:cs="Myriad Pro Light"/>
          <w:color w:val="000000"/>
        </w:rPr>
        <w:t>, Hui-Hui Sun</w:t>
      </w:r>
      <w:r w:rsidRPr="0035338B">
        <w:rPr>
          <w:rFonts w:ascii="Myriad Pro Light" w:eastAsiaTheme="minorEastAsia" w:hAnsi="Myriad Pro Light" w:cs="Myriad Pro Light"/>
          <w:color w:val="000000"/>
          <w:sz w:val="15"/>
          <w:szCs w:val="15"/>
        </w:rPr>
        <w:t xml:space="preserve">1* </w:t>
      </w:r>
      <w:r w:rsidRPr="0035338B">
        <w:rPr>
          <w:rFonts w:ascii="Myriad Pro Light" w:eastAsiaTheme="minorEastAsia" w:hAnsi="Myriad Pro Light" w:cs="Myriad Pro Light"/>
          <w:color w:val="000000"/>
        </w:rPr>
        <w:t>and Xin-MinFeng</w:t>
      </w:r>
      <w:r w:rsidRPr="0035338B">
        <w:rPr>
          <w:rFonts w:ascii="Myriad Pro Light" w:eastAsiaTheme="minorEastAsia" w:hAnsi="Myriad Pro Light" w:cs="Myriad Pro Light"/>
          <w:color w:val="000000"/>
          <w:sz w:val="15"/>
          <w:szCs w:val="15"/>
        </w:rPr>
        <w:t>1*</w:t>
      </w:r>
    </w:p>
    <w:p w14:paraId="0E3B62DA" w14:textId="77777777" w:rsidR="00AE3E37" w:rsidRDefault="00AE3E37">
      <w:pPr>
        <w:pStyle w:val="a3"/>
        <w:rPr>
          <w:rFonts w:ascii="Arial"/>
          <w:sz w:val="20"/>
        </w:rPr>
      </w:pPr>
    </w:p>
    <w:p w14:paraId="174BF095" w14:textId="77777777" w:rsidR="00AE3E37" w:rsidRDefault="00AE3E37">
      <w:pPr>
        <w:pStyle w:val="a3"/>
        <w:spacing w:before="3"/>
        <w:rPr>
          <w:rFonts w:ascii="Arial"/>
          <w:sz w:val="21"/>
        </w:rPr>
      </w:pPr>
    </w:p>
    <w:p w14:paraId="57593E1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5B11BBB" w14:textId="77777777" w:rsidR="00AE3E37" w:rsidRDefault="00A9710C">
      <w:pPr>
        <w:pStyle w:val="3"/>
        <w:spacing w:before="147"/>
        <w:jc w:val="both"/>
      </w:pPr>
      <w:r>
        <w:rPr>
          <w:color w:val="BF5A14"/>
        </w:rPr>
        <w:t>Abstract</w:t>
      </w:r>
      <w:r w:rsidR="00404E5B">
        <w:rPr>
          <w:color w:val="BF5A14"/>
        </w:rPr>
        <w:t xml:space="preserve"> (300 word limit)</w:t>
      </w:r>
    </w:p>
    <w:p w14:paraId="611A7605" w14:textId="77777777" w:rsidR="0035338B" w:rsidRDefault="0035338B" w:rsidP="0035338B">
      <w:pPr>
        <w:pStyle w:val="Default"/>
        <w:spacing w:line="207" w:lineRule="atLeast"/>
        <w:rPr>
          <w:sz w:val="20"/>
          <w:szCs w:val="20"/>
        </w:rPr>
      </w:pPr>
      <w:r>
        <w:rPr>
          <w:b/>
          <w:bCs/>
          <w:sz w:val="20"/>
          <w:szCs w:val="20"/>
        </w:rPr>
        <w:t>Abstract</w:t>
      </w:r>
    </w:p>
    <w:p w14:paraId="4F2E800C" w14:textId="77777777" w:rsidR="0035338B" w:rsidRDefault="0035338B" w:rsidP="0035338B">
      <w:pPr>
        <w:pStyle w:val="Pa9"/>
        <w:jc w:val="both"/>
        <w:rPr>
          <w:rFonts w:ascii="Myriad Pro Light" w:hAnsi="Myriad Pro Light" w:cs="Myriad Pro Light"/>
          <w:color w:val="000000"/>
          <w:sz w:val="20"/>
          <w:szCs w:val="20"/>
        </w:rPr>
      </w:pPr>
      <w:r>
        <w:rPr>
          <w:rFonts w:ascii="Myriad Pro Light" w:hAnsi="Myriad Pro Light" w:cs="Myriad Pro Light"/>
          <w:b/>
          <w:bCs/>
          <w:color w:val="000000"/>
          <w:sz w:val="20"/>
          <w:szCs w:val="20"/>
        </w:rPr>
        <w:t xml:space="preserve">Background </w:t>
      </w:r>
      <w:r>
        <w:rPr>
          <w:rFonts w:ascii="Myriad Pro Light" w:hAnsi="Myriad Pro Light" w:cs="Myriad Pro Light"/>
          <w:color w:val="000000"/>
          <w:sz w:val="20"/>
          <w:szCs w:val="20"/>
        </w:rPr>
        <w:t>The purpose of this study is to evaluate the change patterns of leg numbness (LN) after lumbar decompression surgery (LDS), and to find the predictive factors that affect the recovery of numbness.</w:t>
      </w:r>
    </w:p>
    <w:p w14:paraId="45F32B38" w14:textId="77777777" w:rsidR="0035338B" w:rsidRDefault="0035338B" w:rsidP="0035338B">
      <w:pPr>
        <w:pStyle w:val="Pa9"/>
        <w:jc w:val="both"/>
        <w:rPr>
          <w:rFonts w:ascii="Myriad Pro Light" w:hAnsi="Myriad Pro Light" w:cs="Myriad Pro Light"/>
          <w:color w:val="000000"/>
          <w:sz w:val="20"/>
          <w:szCs w:val="20"/>
        </w:rPr>
      </w:pPr>
      <w:r>
        <w:rPr>
          <w:rFonts w:ascii="Myriad Pro Light" w:hAnsi="Myriad Pro Light" w:cs="Myriad Pro Light"/>
          <w:b/>
          <w:bCs/>
          <w:color w:val="000000"/>
          <w:sz w:val="20"/>
          <w:szCs w:val="20"/>
        </w:rPr>
        <w:t xml:space="preserve">Methods </w:t>
      </w:r>
      <w:r>
        <w:rPr>
          <w:rFonts w:ascii="Myriad Pro Light" w:hAnsi="Myriad Pro Light" w:cs="Myriad Pro Light"/>
          <w:color w:val="000000"/>
          <w:sz w:val="20"/>
          <w:szCs w:val="20"/>
        </w:rPr>
        <w:t>Patients who underwent LDS in our institution between August 2020 and July 2021 were prospectively enrolled in this study, and were followed by a 12-month follow-up. The degree of LN, leg pain (LP) and the disability were assessed using the visual analog scale (VAS) and oswestry disability index (ODI).</w:t>
      </w:r>
    </w:p>
    <w:p w14:paraId="1CCDDB89" w14:textId="77777777" w:rsidR="0035338B" w:rsidRDefault="0035338B" w:rsidP="0035338B">
      <w:pPr>
        <w:pStyle w:val="Pa9"/>
        <w:jc w:val="both"/>
        <w:rPr>
          <w:rFonts w:ascii="Myriad Pro Light" w:hAnsi="Myriad Pro Light" w:cs="Myriad Pro Light"/>
          <w:color w:val="000000"/>
          <w:sz w:val="20"/>
          <w:szCs w:val="20"/>
        </w:rPr>
      </w:pPr>
      <w:r>
        <w:rPr>
          <w:rFonts w:ascii="Myriad Pro Light" w:hAnsi="Myriad Pro Light" w:cs="Myriad Pro Light"/>
          <w:b/>
          <w:bCs/>
          <w:color w:val="000000"/>
          <w:sz w:val="20"/>
          <w:szCs w:val="20"/>
        </w:rPr>
        <w:t xml:space="preserve">Results </w:t>
      </w:r>
      <w:r>
        <w:rPr>
          <w:rFonts w:ascii="Myriad Pro Light" w:hAnsi="Myriad Pro Light" w:cs="Myriad Pro Light"/>
          <w:color w:val="000000"/>
          <w:sz w:val="20"/>
          <w:szCs w:val="20"/>
        </w:rPr>
        <w:t>A total of 314 patients finished the 12-month follow-up. The preoperative mean VAS-LN score was 3.49 ± 2.44, which decreased to 1.91 ± 1.30 at 3 months, to 1.29 ± 0.97 at 6 months and to 1.26 ± 0.96 at 12 months after surgery. The preoperative mean VAS-LP score was 6.05 ± 1.30, which decreased to 2.00 ± 0.86 at 3 months, to 1.02 ± 0.80 at 6 months, and to 0.49 ± 0.71 at 12 months after surgery. The preoperative mean ODI score was 27.90 ± 7.08, which decreased to 9.73 ± 3.09 at 3 months, to 6.72 ± 2.98 at 6 months, and to 4.57 ± 2.76 at 12 months after surgery. Via multivariate logistic regression analysis, only preoperative VAS-LN score (p &lt; 0.001*) was identified as a significantly independent predictive factor for residual LN after operation.</w:t>
      </w:r>
    </w:p>
    <w:p w14:paraId="206BE898" w14:textId="77777777" w:rsidR="0035338B" w:rsidRDefault="0035338B" w:rsidP="0035338B">
      <w:pPr>
        <w:pStyle w:val="Pa9"/>
        <w:jc w:val="both"/>
        <w:rPr>
          <w:rFonts w:ascii="Myriad Pro Light" w:hAnsi="Myriad Pro Light" w:cs="Myriad Pro Light"/>
          <w:color w:val="000000"/>
          <w:sz w:val="20"/>
          <w:szCs w:val="20"/>
        </w:rPr>
      </w:pPr>
      <w:r>
        <w:rPr>
          <w:rFonts w:ascii="Myriad Pro Light" w:hAnsi="Myriad Pro Light" w:cs="Myriad Pro Light"/>
          <w:b/>
          <w:bCs/>
          <w:color w:val="000000"/>
          <w:sz w:val="20"/>
          <w:szCs w:val="20"/>
        </w:rPr>
        <w:t xml:space="preserve">Conclusion </w:t>
      </w:r>
      <w:r>
        <w:rPr>
          <w:rFonts w:ascii="Myriad Pro Light" w:hAnsi="Myriad Pro Light" w:cs="Myriad Pro Light"/>
          <w:color w:val="000000"/>
          <w:sz w:val="20"/>
          <w:szCs w:val="20"/>
        </w:rPr>
        <w:t>Clinically significant improvement in LN was observed in the majority of patients within 6 months after LDS, and the improvement of VAS-LN was slower than the VAS-LP. High pre-operative VAS-LN score can independently predict the presence of residual LN after surgery at 12-month follow up.</w:t>
      </w:r>
    </w:p>
    <w:p w14:paraId="760CAB44" w14:textId="547D2C54" w:rsidR="00AE3E37" w:rsidRDefault="00A9710C">
      <w:pPr>
        <w:pStyle w:val="3"/>
        <w:spacing w:before="74"/>
      </w:pPr>
      <w:r>
        <w:rPr>
          <w:color w:val="BF5A14"/>
        </w:rPr>
        <w:t>Image</w:t>
      </w:r>
    </w:p>
    <w:p w14:paraId="5F134258" w14:textId="046E6E7F" w:rsidR="00AE3E37" w:rsidRDefault="00001429">
      <w:pPr>
        <w:pStyle w:val="a3"/>
        <w:spacing w:before="2"/>
        <w:rPr>
          <w:rFonts w:ascii="Arial"/>
          <w:b/>
          <w:sz w:val="16"/>
        </w:rPr>
      </w:pPr>
      <w:r>
        <w:rPr>
          <w:noProof/>
        </w:rPr>
        <w:drawing>
          <wp:inline distT="0" distB="0" distL="0" distR="0" wp14:anchorId="3150A90F" wp14:editId="43F0165D">
            <wp:extent cx="3165475" cy="18186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818640"/>
                    </a:xfrm>
                    <a:prstGeom prst="rect">
                      <a:avLst/>
                    </a:prstGeom>
                    <a:noFill/>
                    <a:ln>
                      <a:noFill/>
                    </a:ln>
                  </pic:spPr>
                </pic:pic>
              </a:graphicData>
            </a:graphic>
          </wp:inline>
        </w:drawing>
      </w:r>
    </w:p>
    <w:p w14:paraId="00E50084" w14:textId="77777777" w:rsidR="005973B9" w:rsidRDefault="005973B9" w:rsidP="005973B9">
      <w:pPr>
        <w:spacing w:line="204" w:lineRule="exact"/>
        <w:rPr>
          <w:rFonts w:ascii="Arial"/>
          <w:b/>
          <w:sz w:val="20"/>
        </w:rPr>
      </w:pPr>
      <w:r>
        <w:rPr>
          <w:rFonts w:ascii="Arial"/>
          <w:b/>
          <w:color w:val="BF5A14"/>
          <w:sz w:val="20"/>
        </w:rPr>
        <w:br/>
      </w:r>
      <w:r>
        <w:rPr>
          <w:rFonts w:ascii="Arial"/>
          <w:b/>
          <w:color w:val="BF5A14"/>
          <w:sz w:val="20"/>
        </w:rPr>
        <w:t>Recent Publications (minimum 5)</w:t>
      </w:r>
    </w:p>
    <w:p w14:paraId="4E6794B6" w14:textId="77777777" w:rsidR="00ED112E" w:rsidRDefault="00ED112E" w:rsidP="00ED112E">
      <w:pPr>
        <w:numPr>
          <w:ilvl w:val="0"/>
          <w:numId w:val="4"/>
        </w:numPr>
        <w:spacing w:line="300" w:lineRule="exact"/>
        <w:rPr>
          <w:b/>
          <w:szCs w:val="21"/>
          <w:lang w:val="en-US" w:eastAsia="zh-CN"/>
        </w:rPr>
      </w:pPr>
      <w:r>
        <w:rPr>
          <w:b/>
          <w:szCs w:val="21"/>
          <w:u w:val="single"/>
        </w:rPr>
        <w:t>Sun HH</w:t>
      </w:r>
      <w:r>
        <w:rPr>
          <w:bCs/>
          <w:szCs w:val="21"/>
          <w:u w:val="single"/>
        </w:rPr>
        <w:t>, Feng XM, Wang JC, Cai J.</w:t>
      </w:r>
      <w:r>
        <w:rPr>
          <w:rFonts w:hint="eastAsia"/>
          <w:bCs/>
          <w:szCs w:val="21"/>
          <w:u w:val="single"/>
        </w:rPr>
        <w:t xml:space="preserve"> </w:t>
      </w:r>
      <w:r>
        <w:rPr>
          <w:bCs/>
          <w:szCs w:val="21"/>
        </w:rPr>
        <w:t xml:space="preserve">Allicin can suppress the activity of </w:t>
      </w:r>
      <w:hyperlink r:id="rId10" w:history="1">
        <w:r>
          <w:rPr>
            <w:rStyle w:val="ac"/>
            <w:bCs/>
            <w:szCs w:val="21"/>
            <w:shd w:val="clear" w:color="auto" w:fill="FFFFFF"/>
          </w:rPr>
          <w:t>vascular</w:t>
        </w:r>
      </w:hyperlink>
      <w:r>
        <w:rPr>
          <w:rStyle w:val="apple-converted-space"/>
          <w:bCs/>
          <w:szCs w:val="21"/>
          <w:shd w:val="clear" w:color="auto" w:fill="FFFFFF"/>
        </w:rPr>
        <w:t xml:space="preserve"> </w:t>
      </w:r>
      <w:hyperlink r:id="rId11" w:history="1">
        <w:r>
          <w:rPr>
            <w:rStyle w:val="ac"/>
            <w:bCs/>
            <w:szCs w:val="21"/>
            <w:shd w:val="clear" w:color="auto" w:fill="FFFFFF"/>
          </w:rPr>
          <w:t>endothelial</w:t>
        </w:r>
      </w:hyperlink>
      <w:r>
        <w:rPr>
          <w:rStyle w:val="apple-converted-space"/>
          <w:bCs/>
          <w:szCs w:val="21"/>
          <w:shd w:val="clear" w:color="auto" w:fill="FFFFFF"/>
        </w:rPr>
        <w:t xml:space="preserve"> </w:t>
      </w:r>
      <w:hyperlink r:id="rId12" w:history="1">
        <w:r>
          <w:rPr>
            <w:rStyle w:val="ac"/>
            <w:bCs/>
            <w:szCs w:val="21"/>
            <w:shd w:val="clear" w:color="auto" w:fill="FFFFFF"/>
          </w:rPr>
          <w:t>cell</w:t>
        </w:r>
      </w:hyperlink>
      <w:r>
        <w:rPr>
          <w:rStyle w:val="skip"/>
          <w:bCs/>
          <w:szCs w:val="21"/>
          <w:shd w:val="clear" w:color="auto" w:fill="FFFFFF"/>
        </w:rPr>
        <w:t>s</w:t>
      </w:r>
      <w:r>
        <w:rPr>
          <w:rStyle w:val="apple-converted-space"/>
          <w:bCs/>
          <w:szCs w:val="21"/>
          <w:shd w:val="clear" w:color="auto" w:fill="FFFFFF"/>
        </w:rPr>
        <w:t xml:space="preserve"> probably by regulating JAK2/STAT3 pathway</w:t>
      </w:r>
      <w:r>
        <w:rPr>
          <w:rStyle w:val="apple-converted-space"/>
          <w:rFonts w:hint="eastAsia"/>
          <w:bCs/>
          <w:szCs w:val="21"/>
          <w:shd w:val="clear" w:color="auto" w:fill="FFFFFF"/>
        </w:rPr>
        <w:t>.</w:t>
      </w:r>
      <w:r>
        <w:rPr>
          <w:rStyle w:val="apple-converted-space"/>
          <w:rFonts w:hint="eastAsia"/>
          <w:b/>
          <w:szCs w:val="21"/>
          <w:shd w:val="clear" w:color="auto" w:fill="FFFFFF"/>
        </w:rPr>
        <w:t xml:space="preserve"> </w:t>
      </w:r>
      <w:r>
        <w:rPr>
          <w:rFonts w:eastAsia="Helvetica"/>
          <w:b/>
          <w:bCs/>
          <w:szCs w:val="21"/>
          <w:shd w:val="clear" w:color="auto" w:fill="FFFFFF"/>
        </w:rPr>
        <w:t>MOL CELL BIOCHEM</w:t>
      </w:r>
      <w:r>
        <w:rPr>
          <w:rStyle w:val="apple-converted-space"/>
          <w:b/>
          <w:bCs/>
          <w:szCs w:val="21"/>
          <w:shd w:val="clear" w:color="auto" w:fill="FFFFFF"/>
        </w:rPr>
        <w:t>.</w:t>
      </w:r>
      <w:r>
        <w:rPr>
          <w:rStyle w:val="apple-converted-space"/>
          <w:rFonts w:hint="eastAsia"/>
          <w:b/>
          <w:szCs w:val="21"/>
          <w:shd w:val="clear" w:color="auto" w:fill="FFFFFF"/>
        </w:rPr>
        <w:t xml:space="preserve"> 2021. (IF=</w:t>
      </w:r>
      <w:r>
        <w:rPr>
          <w:rStyle w:val="apple-converted-space"/>
          <w:b/>
          <w:szCs w:val="21"/>
          <w:shd w:val="clear" w:color="auto" w:fill="FFFFFF"/>
        </w:rPr>
        <w:t>3.4</w:t>
      </w:r>
      <w:r>
        <w:rPr>
          <w:rStyle w:val="apple-converted-space"/>
          <w:rFonts w:hint="eastAsia"/>
          <w:b/>
          <w:szCs w:val="21"/>
          <w:shd w:val="clear" w:color="auto" w:fill="FFFFFF"/>
        </w:rPr>
        <w:t>)</w:t>
      </w:r>
    </w:p>
    <w:p w14:paraId="76C0F2CA" w14:textId="77777777" w:rsidR="00ED112E" w:rsidRDefault="00ED112E" w:rsidP="00ED112E">
      <w:pPr>
        <w:numPr>
          <w:ilvl w:val="0"/>
          <w:numId w:val="4"/>
        </w:numPr>
        <w:spacing w:line="300" w:lineRule="exact"/>
        <w:jc w:val="both"/>
        <w:rPr>
          <w:b/>
          <w:szCs w:val="21"/>
          <w:lang w:val="en-US" w:eastAsia="zh-CN"/>
        </w:rPr>
      </w:pPr>
      <w:r>
        <w:rPr>
          <w:b/>
          <w:szCs w:val="21"/>
          <w:u w:val="single"/>
          <w:lang w:val="en-US" w:eastAsia="zh-CN"/>
        </w:rPr>
        <w:t>Sun HH</w:t>
      </w:r>
      <w:r>
        <w:rPr>
          <w:szCs w:val="21"/>
          <w:lang w:val="en-US" w:eastAsia="zh-CN"/>
        </w:rPr>
        <w:t xml:space="preserve">, Hong X, Liu B, Cui JQ, Zhou ZM, Xie XH and Wu XT. Survival analysis of patients with spinal chordomas. </w:t>
      </w:r>
      <w:r>
        <w:rPr>
          <w:b/>
          <w:szCs w:val="21"/>
          <w:lang w:val="en-US" w:eastAsia="zh-CN"/>
        </w:rPr>
        <w:t>Neurosurg Rev</w:t>
      </w:r>
      <w:r>
        <w:rPr>
          <w:rFonts w:hint="eastAsia"/>
          <w:b/>
          <w:szCs w:val="21"/>
        </w:rPr>
        <w:t>.</w:t>
      </w:r>
      <w:r>
        <w:rPr>
          <w:b/>
          <w:szCs w:val="21"/>
          <w:lang w:val="en-US" w:eastAsia="zh-CN"/>
        </w:rPr>
        <w:t xml:space="preserve"> 201</w:t>
      </w:r>
      <w:r>
        <w:rPr>
          <w:rFonts w:hint="eastAsia"/>
          <w:b/>
          <w:szCs w:val="21"/>
          <w:lang w:val="en-US"/>
        </w:rPr>
        <w:t>9</w:t>
      </w:r>
      <w:r>
        <w:rPr>
          <w:b/>
          <w:szCs w:val="21"/>
          <w:lang w:val="en-US" w:eastAsia="zh-CN"/>
        </w:rPr>
        <w:t>. (IF=2.8)</w:t>
      </w:r>
    </w:p>
    <w:p w14:paraId="632F2611" w14:textId="77777777" w:rsidR="00ED112E" w:rsidRPr="0036142F" w:rsidRDefault="00ED112E" w:rsidP="00ED112E">
      <w:pPr>
        <w:numPr>
          <w:ilvl w:val="0"/>
          <w:numId w:val="4"/>
        </w:numPr>
        <w:spacing w:line="300" w:lineRule="exact"/>
        <w:jc w:val="both"/>
        <w:rPr>
          <w:b/>
          <w:szCs w:val="21"/>
        </w:rPr>
      </w:pPr>
      <w:r>
        <w:rPr>
          <w:b/>
          <w:szCs w:val="21"/>
        </w:rPr>
        <w:t>Sun HH</w:t>
      </w:r>
      <w:r>
        <w:rPr>
          <w:szCs w:val="21"/>
        </w:rPr>
        <w:t xml:space="preserve">, Jing-Cheng Wang, Xin-Min Feng and Jun Cai. </w:t>
      </w:r>
      <w:r>
        <w:rPr>
          <w:color w:val="000033"/>
          <w:szCs w:val="21"/>
          <w:shd w:val="clear" w:color="auto" w:fill="FFFFFF"/>
        </w:rPr>
        <w:t xml:space="preserve">Allicin inhibits proliferation and promotes apoptosis of human epidural scar fibroblasts. </w:t>
      </w:r>
      <w:r>
        <w:rPr>
          <w:b/>
          <w:color w:val="000033"/>
          <w:szCs w:val="21"/>
          <w:shd w:val="clear" w:color="auto" w:fill="FFFFFF"/>
        </w:rPr>
        <w:t>World Neurosurgery</w:t>
      </w:r>
      <w:r>
        <w:rPr>
          <w:rFonts w:hint="eastAsia"/>
          <w:b/>
          <w:color w:val="000033"/>
          <w:szCs w:val="21"/>
          <w:shd w:val="clear" w:color="auto" w:fill="FFFFFF"/>
        </w:rPr>
        <w:t>.</w:t>
      </w:r>
      <w:r>
        <w:rPr>
          <w:b/>
          <w:color w:val="000033"/>
          <w:szCs w:val="21"/>
          <w:shd w:val="clear" w:color="auto" w:fill="FFFFFF"/>
        </w:rPr>
        <w:t xml:space="preserve"> 2020. (IF=1.</w:t>
      </w:r>
      <w:r>
        <w:rPr>
          <w:rFonts w:hint="eastAsia"/>
          <w:b/>
          <w:color w:val="000033"/>
          <w:szCs w:val="21"/>
          <w:shd w:val="clear" w:color="auto" w:fill="FFFFFF"/>
        </w:rPr>
        <w:t>829</w:t>
      </w:r>
      <w:r>
        <w:rPr>
          <w:b/>
          <w:color w:val="000033"/>
          <w:szCs w:val="21"/>
          <w:shd w:val="clear" w:color="auto" w:fill="FFFFFF"/>
        </w:rPr>
        <w:t>)</w:t>
      </w:r>
    </w:p>
    <w:p w14:paraId="22D44F97" w14:textId="77777777" w:rsidR="00ED112E" w:rsidRPr="00774A2E" w:rsidRDefault="00ED112E" w:rsidP="00ED112E">
      <w:pPr>
        <w:numPr>
          <w:ilvl w:val="0"/>
          <w:numId w:val="4"/>
        </w:numPr>
        <w:spacing w:line="300" w:lineRule="exact"/>
        <w:jc w:val="both"/>
        <w:rPr>
          <w:b/>
          <w:szCs w:val="21"/>
        </w:rPr>
      </w:pPr>
      <w:r w:rsidRPr="00774A2E">
        <w:rPr>
          <w:rFonts w:eastAsia="微软雅黑"/>
          <w:szCs w:val="21"/>
        </w:rPr>
        <w:t>Tao Zou, Ping-Chuan Wang, Hao Chen, Xin-Min Feng and </w:t>
      </w:r>
      <w:r w:rsidRPr="00774A2E">
        <w:rPr>
          <w:rFonts w:eastAsia="微软雅黑"/>
          <w:b/>
          <w:bCs/>
          <w:szCs w:val="21"/>
        </w:rPr>
        <w:t>Hui-Hui Sun</w:t>
      </w:r>
      <w:r>
        <w:rPr>
          <w:rFonts w:eastAsia="微软雅黑"/>
          <w:b/>
          <w:bCs/>
          <w:szCs w:val="21"/>
        </w:rPr>
        <w:t xml:space="preserve">. </w:t>
      </w:r>
      <w:r w:rsidRPr="00774A2E">
        <w:rPr>
          <w:rFonts w:eastAsia="微软雅黑"/>
          <w:szCs w:val="21"/>
        </w:rPr>
        <w:t>Minimally invasive posterior cervical foraminotomy versus anterior cervical discectomy and fusion for cervical radiculopathy: a meta-analysis</w:t>
      </w:r>
      <w:r>
        <w:rPr>
          <w:rFonts w:eastAsia="微软雅黑"/>
          <w:szCs w:val="21"/>
        </w:rPr>
        <w:t>.</w:t>
      </w:r>
      <w:r>
        <w:rPr>
          <w:b/>
          <w:szCs w:val="21"/>
          <w:lang w:val="en-US" w:eastAsia="zh-CN"/>
        </w:rPr>
        <w:t xml:space="preserve"> Neurosurg Rev</w:t>
      </w:r>
      <w:r>
        <w:rPr>
          <w:rFonts w:hint="eastAsia"/>
          <w:b/>
          <w:szCs w:val="21"/>
        </w:rPr>
        <w:t>.</w:t>
      </w:r>
      <w:r>
        <w:rPr>
          <w:b/>
          <w:szCs w:val="21"/>
          <w:lang w:val="en-US" w:eastAsia="zh-CN"/>
        </w:rPr>
        <w:t xml:space="preserve"> 2022. (IF=2.8)</w:t>
      </w:r>
    </w:p>
    <w:p w14:paraId="45FE1F88" w14:textId="77777777" w:rsidR="00ED112E" w:rsidRDefault="00ED112E" w:rsidP="00ED112E">
      <w:pPr>
        <w:numPr>
          <w:ilvl w:val="0"/>
          <w:numId w:val="4"/>
        </w:numPr>
        <w:spacing w:line="300" w:lineRule="exact"/>
        <w:jc w:val="both"/>
        <w:rPr>
          <w:b/>
          <w:szCs w:val="21"/>
        </w:rPr>
      </w:pPr>
      <w:r w:rsidRPr="00CC1641">
        <w:rPr>
          <w:noProof/>
        </w:rPr>
        <w:t xml:space="preserve">Zou T, Chen H, Wang PC, </w:t>
      </w:r>
      <w:r w:rsidRPr="004C70FA">
        <w:rPr>
          <w:b/>
          <w:bCs/>
          <w:noProof/>
          <w:u w:val="single"/>
        </w:rPr>
        <w:t>Sun HH</w:t>
      </w:r>
      <w:r w:rsidRPr="00CC1641">
        <w:rPr>
          <w:noProof/>
        </w:rPr>
        <w:t xml:space="preserve">, Feng XM. Predictive factors for residual leg numbness after decompression surgery for lumbar degenerative diseases. </w:t>
      </w:r>
      <w:r w:rsidRPr="00CC1641">
        <w:rPr>
          <w:b/>
          <w:bCs/>
          <w:noProof/>
        </w:rPr>
        <w:t>BMC Musculoskelet Disord. 2022</w:t>
      </w:r>
      <w:r w:rsidRPr="00CC1641">
        <w:rPr>
          <w:noProof/>
        </w:rPr>
        <w:t>;23(1):910.</w:t>
      </w:r>
      <w:r>
        <w:rPr>
          <w:noProof/>
        </w:rPr>
        <w:t xml:space="preserve"> </w:t>
      </w:r>
      <w:r w:rsidRPr="00CC1641">
        <w:rPr>
          <w:b/>
          <w:bCs/>
          <w:noProof/>
        </w:rPr>
        <w:t>(IF=2.562)</w:t>
      </w:r>
      <w:r>
        <w:rPr>
          <w:b/>
          <w:bCs/>
          <w:noProof/>
        </w:rPr>
        <w:t>. Co-conrresponding author.</w:t>
      </w:r>
    </w:p>
    <w:p w14:paraId="410C8FC7" w14:textId="77777777" w:rsidR="00ED112E" w:rsidRDefault="00ED112E" w:rsidP="00ED112E">
      <w:pPr>
        <w:pStyle w:val="details"/>
        <w:numPr>
          <w:ilvl w:val="0"/>
          <w:numId w:val="4"/>
        </w:numPr>
        <w:shd w:val="clear" w:color="auto" w:fill="FFFFFF"/>
        <w:spacing w:before="0" w:beforeAutospacing="0" w:after="0" w:afterAutospacing="0" w:line="300" w:lineRule="exact"/>
        <w:jc w:val="both"/>
        <w:rPr>
          <w:rFonts w:ascii="Times New Roman" w:eastAsia="Frutiger-BoldCn" w:hAnsi="Times New Roman" w:cs="Times New Roman"/>
          <w:b/>
          <w:bCs/>
          <w:sz w:val="21"/>
          <w:szCs w:val="21"/>
          <w:u w:val="single"/>
        </w:rPr>
      </w:pPr>
      <w:r>
        <w:rPr>
          <w:rFonts w:ascii="Times New Roman" w:hAnsi="Times New Roman" w:cs="Times New Roman"/>
          <w:sz w:val="21"/>
          <w:szCs w:val="21"/>
          <w:lang w:val="en-US" w:eastAsia="zh-CN"/>
        </w:rPr>
        <w:t xml:space="preserve">Zhu J, </w:t>
      </w:r>
      <w:r>
        <w:rPr>
          <w:rFonts w:ascii="Times New Roman" w:hAnsi="Times New Roman" w:cs="Times New Roman"/>
          <w:b/>
          <w:sz w:val="21"/>
          <w:szCs w:val="21"/>
          <w:u w:val="single"/>
          <w:lang w:val="en-US" w:eastAsia="zh-CN"/>
        </w:rPr>
        <w:t>Sun HH</w:t>
      </w:r>
      <w:r>
        <w:rPr>
          <w:rFonts w:ascii="Times New Roman" w:hAnsi="Times New Roman" w:cs="Times New Roman"/>
          <w:b/>
          <w:sz w:val="21"/>
          <w:szCs w:val="21"/>
          <w:lang w:val="en-US" w:eastAsia="zh-CN"/>
        </w:rPr>
        <w:t>,</w:t>
      </w:r>
      <w:r>
        <w:rPr>
          <w:rFonts w:ascii="Times New Roman" w:hAnsi="Times New Roman" w:cs="Times New Roman"/>
          <w:sz w:val="21"/>
          <w:szCs w:val="21"/>
          <w:lang w:val="en-US" w:eastAsia="zh-CN"/>
        </w:rPr>
        <w:t xml:space="preserve"> Wo J, Xu FH, Lu WQ, Deng B, Zhu YY and Yuan F. </w:t>
      </w:r>
      <w:r>
        <w:rPr>
          <w:rFonts w:ascii="Times New Roman" w:hAnsi="Times New Roman" w:cs="Times New Roman"/>
          <w:sz w:val="21"/>
          <w:szCs w:val="21"/>
        </w:rPr>
        <w:t xml:space="preserve">Duration of electrochemical deposition affects the morphology of hydroxyapatite coatings on 3D-printed </w:t>
      </w:r>
      <w:bookmarkStart w:id="0" w:name="OLE_LINK5"/>
      <w:bookmarkStart w:id="1" w:name="OLE_LINK6"/>
      <w:r>
        <w:rPr>
          <w:rFonts w:ascii="Times New Roman" w:hAnsi="Times New Roman" w:cs="Times New Roman"/>
          <w:sz w:val="21"/>
          <w:szCs w:val="21"/>
        </w:rPr>
        <w:t xml:space="preserve">titanium scaffold </w:t>
      </w:r>
      <w:bookmarkEnd w:id="0"/>
      <w:bookmarkEnd w:id="1"/>
      <w:r>
        <w:rPr>
          <w:rFonts w:ascii="Times New Roman" w:hAnsi="Times New Roman" w:cs="Times New Roman"/>
          <w:sz w:val="21"/>
          <w:szCs w:val="21"/>
        </w:rPr>
        <w:t>as well as the functions of adhered MC3T3-E1 cells.</w:t>
      </w:r>
      <w:r>
        <w:rPr>
          <w:rFonts w:ascii="Times New Roman" w:hAnsi="Times New Roman" w:cs="Times New Roman"/>
          <w:b/>
          <w:color w:val="000000"/>
          <w:sz w:val="21"/>
          <w:szCs w:val="21"/>
        </w:rPr>
        <w:t xml:space="preserve"> </w:t>
      </w:r>
      <w:bookmarkStart w:id="2" w:name="OLE_LINK1"/>
      <w:bookmarkStart w:id="3" w:name="OLE_LINK2"/>
      <w:r>
        <w:rPr>
          <w:rFonts w:ascii="Times New Roman" w:hAnsi="Times New Roman" w:cs="Times New Roman"/>
          <w:b/>
          <w:color w:val="000000"/>
          <w:sz w:val="21"/>
          <w:szCs w:val="21"/>
        </w:rPr>
        <w:fldChar w:fldCharType="begin"/>
      </w:r>
      <w:r>
        <w:rPr>
          <w:rFonts w:ascii="Times New Roman" w:hAnsi="Times New Roman" w:cs="Times New Roman"/>
          <w:b/>
          <w:color w:val="000000"/>
          <w:sz w:val="21"/>
          <w:szCs w:val="21"/>
        </w:rPr>
        <w:instrText xml:space="preserve"> HYPERLINK "https://www.medsci.cn/sci/submit.do?id=ce651986" \t "_blank" </w:instrText>
      </w:r>
      <w:r>
        <w:rPr>
          <w:rFonts w:ascii="Times New Roman" w:hAnsi="Times New Roman" w:cs="Times New Roman"/>
          <w:b/>
          <w:color w:val="000000"/>
          <w:sz w:val="21"/>
          <w:szCs w:val="21"/>
        </w:rPr>
        <w:fldChar w:fldCharType="separate"/>
      </w:r>
      <w:r>
        <w:rPr>
          <w:rStyle w:val="ac"/>
          <w:rFonts w:ascii="Times New Roman" w:hAnsi="Times New Roman" w:cs="Times New Roman"/>
          <w:b/>
          <w:color w:val="000000"/>
          <w:sz w:val="21"/>
          <w:szCs w:val="21"/>
        </w:rPr>
        <w:t>J ORTHOP SCI</w:t>
      </w:r>
      <w:r>
        <w:rPr>
          <w:rFonts w:ascii="Times New Roman" w:hAnsi="Times New Roman" w:cs="Times New Roman"/>
          <w:b/>
          <w:color w:val="000000"/>
          <w:sz w:val="21"/>
          <w:szCs w:val="21"/>
        </w:rPr>
        <w:fldChar w:fldCharType="end"/>
      </w:r>
      <w:bookmarkEnd w:id="2"/>
      <w:bookmarkEnd w:id="3"/>
      <w:r>
        <w:rPr>
          <w:rFonts w:ascii="Times New Roman" w:hAnsi="Times New Roman" w:cs="Times New Roman"/>
          <w:b/>
          <w:color w:val="000000"/>
          <w:sz w:val="21"/>
          <w:szCs w:val="21"/>
        </w:rPr>
        <w:t xml:space="preserve"> 2019. (IF=1.</w:t>
      </w:r>
      <w:r>
        <w:rPr>
          <w:rFonts w:ascii="Times New Roman" w:hAnsi="Times New Roman" w:cs="Times New Roman" w:hint="eastAsia"/>
          <w:b/>
          <w:color w:val="000000"/>
          <w:sz w:val="21"/>
          <w:szCs w:val="21"/>
        </w:rPr>
        <w:t>259</w:t>
      </w:r>
      <w:r>
        <w:rPr>
          <w:rFonts w:ascii="Times New Roman" w:hAnsi="Times New Roman" w:cs="Times New Roman"/>
          <w:b/>
          <w:color w:val="000000"/>
          <w:sz w:val="21"/>
          <w:szCs w:val="21"/>
        </w:rPr>
        <w:t xml:space="preserve">). </w:t>
      </w:r>
      <w:r>
        <w:rPr>
          <w:rFonts w:ascii="Times New Roman" w:eastAsia="Frutiger-BoldCn" w:hAnsi="Times New Roman" w:cs="Times New Roman"/>
          <w:b/>
          <w:bCs/>
          <w:sz w:val="21"/>
          <w:szCs w:val="21"/>
          <w:u w:val="single"/>
        </w:rPr>
        <w:t>Co-first author</w:t>
      </w:r>
    </w:p>
    <w:p w14:paraId="19F4AA4D" w14:textId="77777777" w:rsidR="00ED112E" w:rsidRDefault="00ED112E" w:rsidP="00ED112E">
      <w:pPr>
        <w:numPr>
          <w:ilvl w:val="0"/>
          <w:numId w:val="4"/>
        </w:numPr>
        <w:spacing w:line="300" w:lineRule="exact"/>
        <w:jc w:val="both"/>
        <w:rPr>
          <w:color w:val="000000"/>
          <w:szCs w:val="21"/>
        </w:rPr>
      </w:pPr>
      <w:hyperlink r:id="rId13" w:history="1">
        <w:r>
          <w:rPr>
            <w:rStyle w:val="ac"/>
            <w:rFonts w:eastAsia="&amp;quot"/>
            <w:color w:val="000000"/>
            <w:szCs w:val="21"/>
          </w:rPr>
          <w:t>Huang Ji-Jun</w:t>
        </w:r>
      </w:hyperlink>
      <w:r>
        <w:rPr>
          <w:rFonts w:eastAsia="&amp;quot"/>
          <w:color w:val="000000"/>
          <w:szCs w:val="21"/>
        </w:rPr>
        <w:t>, </w:t>
      </w:r>
      <w:hyperlink r:id="rId14" w:history="1">
        <w:r>
          <w:rPr>
            <w:rStyle w:val="ac"/>
            <w:rFonts w:eastAsia="&amp;quot"/>
            <w:b/>
            <w:bCs/>
            <w:color w:val="000000"/>
            <w:szCs w:val="21"/>
          </w:rPr>
          <w:t>Sun Hui-Hui</w:t>
        </w:r>
      </w:hyperlink>
      <w:r>
        <w:rPr>
          <w:rFonts w:eastAsia="&amp;quot"/>
          <w:color w:val="000000"/>
          <w:szCs w:val="21"/>
        </w:rPr>
        <w:t>, </w:t>
      </w:r>
      <w:hyperlink r:id="rId15" w:history="1">
        <w:r>
          <w:rPr>
            <w:rStyle w:val="ac"/>
            <w:rFonts w:eastAsia="&amp;quot"/>
            <w:color w:val="000000"/>
            <w:szCs w:val="21"/>
          </w:rPr>
          <w:t>Lan Qing</w:t>
        </w:r>
      </w:hyperlink>
      <w:r>
        <w:rPr>
          <w:rFonts w:eastAsia="&amp;quot"/>
          <w:color w:val="000000"/>
          <w:szCs w:val="21"/>
        </w:rPr>
        <w:t>, </w:t>
      </w:r>
      <w:hyperlink r:id="rId16" w:history="1">
        <w:r>
          <w:rPr>
            <w:rStyle w:val="ac"/>
            <w:rFonts w:eastAsia="&amp;quot"/>
            <w:color w:val="000000"/>
            <w:szCs w:val="21"/>
          </w:rPr>
          <w:t>Zhang Heng-Zhu</w:t>
        </w:r>
      </w:hyperlink>
      <w:r>
        <w:rPr>
          <w:color w:val="000000"/>
          <w:szCs w:val="21"/>
        </w:rPr>
        <w:t xml:space="preserve">. </w:t>
      </w:r>
      <w:r>
        <w:rPr>
          <w:rFonts w:eastAsia="Georgia"/>
          <w:color w:val="000000"/>
          <w:szCs w:val="21"/>
          <w:shd w:val="clear" w:color="auto" w:fill="FFFFFF"/>
        </w:rPr>
        <w:t>Efficacy of Using Platelet-Rich Plasma in Spinal Fusion Surgery-A Preferred Reporting Items for Systematic Reviews and Meta-Analyses-Compliant Meta-Analysis</w:t>
      </w:r>
      <w:r>
        <w:rPr>
          <w:color w:val="000000"/>
          <w:szCs w:val="21"/>
          <w:shd w:val="clear" w:color="auto" w:fill="FFFFFF"/>
        </w:rPr>
        <w:t xml:space="preserve">. </w:t>
      </w:r>
      <w:r>
        <w:rPr>
          <w:b/>
          <w:bCs/>
          <w:color w:val="000000"/>
          <w:szCs w:val="21"/>
          <w:shd w:val="clear" w:color="auto" w:fill="FFFFFF"/>
        </w:rPr>
        <w:t>World Neurosurgery</w:t>
      </w:r>
      <w:r>
        <w:rPr>
          <w:rFonts w:hint="eastAsia"/>
          <w:b/>
          <w:bCs/>
          <w:color w:val="000000"/>
          <w:szCs w:val="21"/>
          <w:shd w:val="clear" w:color="auto" w:fill="FFFFFF"/>
        </w:rPr>
        <w:t>.</w:t>
      </w:r>
      <w:r>
        <w:rPr>
          <w:b/>
          <w:bCs/>
          <w:color w:val="000000"/>
          <w:szCs w:val="21"/>
          <w:shd w:val="clear" w:color="auto" w:fill="FFFFFF"/>
        </w:rPr>
        <w:t xml:space="preserve"> 2020. (IF=1.</w:t>
      </w:r>
      <w:r>
        <w:rPr>
          <w:rFonts w:hint="eastAsia"/>
          <w:b/>
          <w:bCs/>
          <w:color w:val="000000"/>
          <w:szCs w:val="21"/>
          <w:shd w:val="clear" w:color="auto" w:fill="FFFFFF"/>
        </w:rPr>
        <w:t>829</w:t>
      </w:r>
      <w:r>
        <w:rPr>
          <w:b/>
          <w:bCs/>
          <w:color w:val="000000"/>
          <w:szCs w:val="21"/>
          <w:shd w:val="clear" w:color="auto" w:fill="FFFFFF"/>
        </w:rPr>
        <w:t>)</w:t>
      </w:r>
    </w:p>
    <w:p w14:paraId="5A35F9C1" w14:textId="77777777" w:rsidR="00ED112E" w:rsidRDefault="00ED112E" w:rsidP="00ED112E">
      <w:pPr>
        <w:pStyle w:val="details"/>
        <w:numPr>
          <w:ilvl w:val="0"/>
          <w:numId w:val="4"/>
        </w:numPr>
        <w:shd w:val="clear" w:color="auto" w:fill="FFFFFF"/>
        <w:spacing w:before="0" w:beforeAutospacing="0" w:after="0" w:afterAutospacing="0" w:line="300" w:lineRule="exact"/>
        <w:jc w:val="both"/>
        <w:rPr>
          <w:rFonts w:ascii="Times New Roman" w:eastAsia="Frutiger-BoldCn" w:hAnsi="Times New Roman" w:cs="Times New Roman"/>
          <w:b/>
          <w:bCs/>
          <w:color w:val="000000"/>
          <w:sz w:val="21"/>
          <w:szCs w:val="21"/>
          <w:u w:val="single"/>
          <w:lang w:val="en-US" w:eastAsia="zh-CN"/>
        </w:rPr>
      </w:pPr>
      <w:r>
        <w:rPr>
          <w:rFonts w:ascii="Times New Roman" w:eastAsia="Segoe UI" w:hAnsi="Times New Roman" w:cs="Times New Roman"/>
          <w:color w:val="000000"/>
          <w:sz w:val="21"/>
          <w:szCs w:val="21"/>
          <w:shd w:val="clear" w:color="auto" w:fill="FFFFFF"/>
        </w:rPr>
        <w:t xml:space="preserve">Ji-Jun H, </w:t>
      </w:r>
      <w:r>
        <w:rPr>
          <w:rFonts w:ascii="Times New Roman" w:eastAsia="Segoe UI" w:hAnsi="Times New Roman" w:cs="Times New Roman"/>
          <w:b/>
          <w:bCs/>
          <w:color w:val="000000"/>
          <w:sz w:val="21"/>
          <w:szCs w:val="21"/>
          <w:shd w:val="clear" w:color="auto" w:fill="FFFFFF"/>
        </w:rPr>
        <w:t>Hui-Hui S</w:t>
      </w:r>
      <w:r>
        <w:rPr>
          <w:rFonts w:ascii="Times New Roman" w:eastAsia="Segoe UI" w:hAnsi="Times New Roman" w:cs="Times New Roman"/>
          <w:color w:val="000000"/>
          <w:sz w:val="21"/>
          <w:szCs w:val="21"/>
          <w:shd w:val="clear" w:color="auto" w:fill="FFFFFF"/>
        </w:rPr>
        <w:t>, Zeng-Wu S, Liang Z, Qing L, Heng-Zhu Z.</w:t>
      </w:r>
      <w:r>
        <w:rPr>
          <w:rFonts w:ascii="Times New Roman" w:hAnsi="Times New Roman" w:cs="Times New Roman"/>
          <w:color w:val="000000"/>
          <w:sz w:val="21"/>
          <w:szCs w:val="21"/>
          <w:shd w:val="clear" w:color="auto" w:fill="FFFFFF"/>
        </w:rPr>
        <w:t xml:space="preserve"> </w:t>
      </w:r>
      <w:r>
        <w:rPr>
          <w:rFonts w:ascii="Times New Roman" w:eastAsia="Georgia" w:hAnsi="Times New Roman" w:cs="Times New Roman"/>
          <w:color w:val="000000"/>
          <w:sz w:val="21"/>
          <w:szCs w:val="21"/>
          <w:shd w:val="clear" w:color="auto" w:fill="FFFFFF"/>
        </w:rPr>
        <w:t>Posterior full-endoscopic cervical discectomy in cervical radiculopathy: A prospective cohort study</w:t>
      </w:r>
      <w:r>
        <w:rPr>
          <w:rFonts w:ascii="Times New Roman" w:hAnsi="Times New Roman" w:cs="Times New Roman"/>
          <w:color w:val="000000"/>
          <w:sz w:val="21"/>
          <w:szCs w:val="21"/>
          <w:shd w:val="clear" w:color="auto" w:fill="FFFFFF"/>
        </w:rPr>
        <w:t xml:space="preserve">. </w:t>
      </w:r>
      <w:r>
        <w:rPr>
          <w:rFonts w:ascii="Times New Roman" w:hAnsi="Times New Roman" w:cs="Times New Roman"/>
          <w:b/>
          <w:bCs/>
          <w:color w:val="000000"/>
          <w:sz w:val="21"/>
          <w:szCs w:val="21"/>
          <w:shd w:val="clear" w:color="auto" w:fill="FFFFFF"/>
        </w:rPr>
        <w:t>Clin Neurol Neurosurg.</w:t>
      </w:r>
      <w:r>
        <w:rPr>
          <w:rFonts w:ascii="Times New Roman" w:hAnsi="Times New Roman" w:cs="Times New Roman" w:hint="eastAsia"/>
          <w:b/>
          <w:bCs/>
          <w:color w:val="000000"/>
          <w:sz w:val="21"/>
          <w:szCs w:val="21"/>
          <w:shd w:val="clear" w:color="auto" w:fill="FFFFFF"/>
        </w:rPr>
        <w:t>2020.</w:t>
      </w:r>
      <w:r>
        <w:rPr>
          <w:rFonts w:ascii="Times New Roman" w:hAnsi="Times New Roman" w:cs="Times New Roman"/>
          <w:b/>
          <w:bCs/>
          <w:color w:val="000000"/>
          <w:sz w:val="21"/>
          <w:szCs w:val="21"/>
          <w:shd w:val="clear" w:color="auto" w:fill="FFFFFF"/>
        </w:rPr>
        <w:t xml:space="preserve"> (IF=1.53)</w:t>
      </w:r>
    </w:p>
    <w:p w14:paraId="44170BF7" w14:textId="77777777" w:rsidR="00AE3E37" w:rsidRPr="008756E6" w:rsidRDefault="00AE3E37" w:rsidP="008756E6">
      <w:pPr>
        <w:tabs>
          <w:tab w:val="left" w:pos="384"/>
        </w:tabs>
        <w:ind w:right="117"/>
      </w:pPr>
    </w:p>
    <w:p w14:paraId="4332D50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0224BC7" w14:textId="77777777"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14:paraId="0EC1BE8E"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30E2FD49" wp14:editId="0F1BA5B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696C7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9B7F5F9" w14:textId="57621E29" w:rsidR="00AE3E37" w:rsidRDefault="008756E6" w:rsidP="00404E5B">
      <w:pPr>
        <w:spacing w:before="92"/>
        <w:ind w:right="4234"/>
        <w:rPr>
          <w:rFonts w:ascii="Arial"/>
        </w:rPr>
      </w:pPr>
      <w:r>
        <w:rPr>
          <w:noProof/>
        </w:rPr>
        <w:t xml:space="preserve">              </w:t>
      </w:r>
      <w:r w:rsidR="00B809A5">
        <w:rPr>
          <w:noProof/>
        </w:rPr>
        <w:drawing>
          <wp:inline distT="0" distB="0" distL="0" distR="0" wp14:anchorId="0EC617D9" wp14:editId="36F39396">
            <wp:extent cx="762000" cy="1066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2000" cy="10668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164279F" w14:textId="1465BC4A"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F82D04">
        <w:rPr>
          <w:rFonts w:asciiTheme="minorEastAsia" w:eastAsiaTheme="minorEastAsia" w:hAnsiTheme="minorEastAsia" w:hint="eastAsia"/>
          <w:sz w:val="14"/>
          <w:lang w:eastAsia="zh-CN"/>
        </w:rPr>
        <w:t>H</w:t>
      </w:r>
      <w:r w:rsidR="00F82D04">
        <w:rPr>
          <w:rFonts w:ascii="Arial"/>
          <w:sz w:val="14"/>
        </w:rPr>
        <w:t xml:space="preserve">ui-Hui Sun </w:t>
      </w:r>
      <w:r>
        <w:rPr>
          <w:rFonts w:ascii="Arial"/>
          <w:sz w:val="14"/>
        </w:rPr>
        <w:t>has her expertise in evaluation and passion in improving the health and wellbeing</w:t>
      </w:r>
      <w:r w:rsidR="00531F1F">
        <w:rPr>
          <w:rFonts w:ascii="Arial"/>
          <w:sz w:val="14"/>
        </w:rPr>
        <w:t xml:space="preserve"> on spine diseases</w:t>
      </w:r>
      <w:r>
        <w:rPr>
          <w:rFonts w:ascii="Arial"/>
          <w:sz w:val="14"/>
        </w:rPr>
        <w:t>.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CA024B">
        <w:rPr>
          <w:rFonts w:ascii="Arial"/>
          <w:sz w:val="14"/>
        </w:rPr>
        <w:t>H</w:t>
      </w:r>
      <w:r>
        <w:rPr>
          <w:rFonts w:ascii="Arial"/>
          <w:sz w:val="14"/>
        </w:rPr>
        <w:t>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5A50FA9E" w14:textId="77777777" w:rsidR="00AE3E37" w:rsidRDefault="00A9710C">
      <w:pPr>
        <w:spacing w:before="62"/>
        <w:ind w:left="4217" w:right="4235"/>
        <w:jc w:val="center"/>
        <w:rPr>
          <w:rFonts w:ascii="Arial"/>
          <w:sz w:val="14"/>
        </w:rPr>
      </w:pPr>
      <w:r>
        <w:rPr>
          <w:rFonts w:ascii="Arial"/>
          <w:sz w:val="14"/>
        </w:rPr>
        <w:t xml:space="preserve">Email: </w:t>
      </w:r>
      <w:hyperlink r:id="rId18" w:history="1">
        <w:r w:rsidR="008756E6" w:rsidRPr="00616076">
          <w:rPr>
            <w:rStyle w:val="ac"/>
            <w:rFonts w:ascii="Arial"/>
            <w:sz w:val="14"/>
          </w:rPr>
          <w:t>drXXXXXXX@xxxmail.com</w:t>
        </w:r>
      </w:hyperlink>
    </w:p>
    <w:p w14:paraId="6FAB62E7"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26A977F" wp14:editId="1E42A3A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EF1C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CFE1A27" w14:textId="77777777" w:rsidR="00AE3E37" w:rsidRDefault="00AE3E37">
      <w:pPr>
        <w:pStyle w:val="a3"/>
        <w:rPr>
          <w:rFonts w:ascii="Arial"/>
          <w:sz w:val="20"/>
        </w:rPr>
      </w:pPr>
    </w:p>
    <w:p w14:paraId="5B3E02BD" w14:textId="77777777" w:rsidR="00AE3E37" w:rsidRDefault="00AE3E37">
      <w:pPr>
        <w:pStyle w:val="a3"/>
        <w:rPr>
          <w:rFonts w:ascii="Arial"/>
          <w:sz w:val="20"/>
        </w:rPr>
      </w:pPr>
    </w:p>
    <w:p w14:paraId="74FBEBD1" w14:textId="77777777" w:rsidR="00AE3E37" w:rsidRDefault="00AE3E37">
      <w:pPr>
        <w:pStyle w:val="a3"/>
        <w:spacing w:before="7"/>
        <w:rPr>
          <w:rFonts w:ascii="Arial"/>
          <w:sz w:val="29"/>
        </w:rPr>
      </w:pPr>
    </w:p>
    <w:p w14:paraId="7F92A4FC" w14:textId="77777777" w:rsidR="00AE3E37" w:rsidRPr="00B21A57" w:rsidRDefault="00A9710C">
      <w:pPr>
        <w:spacing w:before="39"/>
        <w:ind w:left="100"/>
        <w:rPr>
          <w:rFonts w:ascii="Minion Pro"/>
          <w:b/>
          <w:sz w:val="20"/>
        </w:rPr>
      </w:pPr>
      <w:r w:rsidRPr="00B21A57">
        <w:rPr>
          <w:rFonts w:ascii="Minion Pro"/>
          <w:b/>
          <w:sz w:val="20"/>
        </w:rPr>
        <w:t>Notes/Comments:</w:t>
      </w:r>
    </w:p>
    <w:p w14:paraId="37D065B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0D9DA71"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07405" w14:textId="77777777" w:rsidR="00870320" w:rsidRDefault="00870320">
      <w:r>
        <w:separator/>
      </w:r>
    </w:p>
  </w:endnote>
  <w:endnote w:type="continuationSeparator" w:id="0">
    <w:p w14:paraId="1CCC59FF" w14:textId="77777777" w:rsidR="00870320" w:rsidRDefault="00870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yriad Pro">
    <w:altName w:val="Myriad Pro"/>
    <w:panose1 w:val="020B0503030403020204"/>
    <w:charset w:val="00"/>
    <w:family w:val="swiss"/>
    <w:notTrueType/>
    <w:pitch w:val="variable"/>
    <w:sig w:usb0="20000287" w:usb1="00000001" w:usb2="00000000" w:usb3="00000000" w:csb0="0000019F" w:csb1="00000000"/>
  </w:font>
  <w:font w:name="Myriad Pro Light">
    <w:altName w:val="Myriad Pro Light"/>
    <w:panose1 w:val="020B06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altName w:val="Arial"/>
    <w:panose1 w:val="020B0604020202020204"/>
    <w:charset w:val="00"/>
    <w:family w:val="swiss"/>
    <w:pitch w:val="variable"/>
    <w:sig w:usb0="E0002EFF" w:usb1="C000785B" w:usb2="00000009" w:usb3="00000000" w:csb0="000001FF" w:csb1="00000000"/>
  </w:font>
  <w:font w:name="微软雅黑">
    <w:altName w:val="微软雅黑"/>
    <w:panose1 w:val="020B0503020204020204"/>
    <w:charset w:val="86"/>
    <w:family w:val="swiss"/>
    <w:pitch w:val="variable"/>
    <w:sig w:usb0="80000287" w:usb1="2ACF3C50" w:usb2="00000016" w:usb3="00000000" w:csb0="0004001F" w:csb1="00000000"/>
  </w:font>
  <w:font w:name="Frutiger-BoldCn">
    <w:altName w:val="微软雅黑"/>
    <w:charset w:val="86"/>
    <w:family w:val="swiss"/>
    <w:pitch w:val="default"/>
    <w:sig w:usb0="00000001" w:usb1="080E0000" w:usb2="00000010" w:usb3="00000000" w:csb0="00040000" w:csb1="00000000"/>
  </w:font>
  <w:font w:name="&amp;quot">
    <w:altName w:val="Segoe Print"/>
    <w:charset w:val="00"/>
    <w:family w:val="auto"/>
    <w:pitch w:val="default"/>
    <w:sig w:usb0="00000000" w:usb1="00000000" w:usb2="00000000"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45CF3"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AA3A38E" wp14:editId="02C66E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2EBB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1A36A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3A38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6C02EBB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1A36A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1827982" wp14:editId="557C3B8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038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01B97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2798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37D038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01B97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A04AFF1" wp14:editId="40DE7AB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217C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E73B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4AFF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2D217C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E73B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F8AC1" w14:textId="77777777" w:rsidR="00870320" w:rsidRDefault="00870320">
      <w:r>
        <w:separator/>
      </w:r>
    </w:p>
  </w:footnote>
  <w:footnote w:type="continuationSeparator" w:id="0">
    <w:p w14:paraId="2EE79609" w14:textId="77777777" w:rsidR="00870320" w:rsidRDefault="00870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4226A"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80B200F" wp14:editId="1DD9B6E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72B0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B200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2172B0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44A21B1" wp14:editId="6AFB6D7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2952E"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E1B23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A21B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05C2952E"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E1B23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F2B169F"/>
    <w:multiLevelType w:val="multilevel"/>
    <w:tmpl w:val="6F2B169F"/>
    <w:lvl w:ilvl="0">
      <w:start w:val="1"/>
      <w:numFmt w:val="decimal"/>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48799645">
    <w:abstractNumId w:val="0"/>
  </w:num>
  <w:num w:numId="2" w16cid:durableId="1330055677">
    <w:abstractNumId w:val="1"/>
  </w:num>
  <w:num w:numId="3" w16cid:durableId="1366100367">
    <w:abstractNumId w:val="0"/>
    <w:lvlOverride w:ilvl="0">
      <w:startOverride w:val="1"/>
    </w:lvlOverride>
    <w:lvlOverride w:ilvl="1"/>
    <w:lvlOverride w:ilvl="2"/>
    <w:lvlOverride w:ilvl="3"/>
    <w:lvlOverride w:ilvl="4"/>
    <w:lvlOverride w:ilvl="5"/>
    <w:lvlOverride w:ilvl="6"/>
    <w:lvlOverride w:ilvl="7"/>
    <w:lvlOverride w:ilvl="8"/>
  </w:num>
  <w:num w:numId="4" w16cid:durableId="3627528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1429"/>
    <w:rsid w:val="000E2911"/>
    <w:rsid w:val="001263DF"/>
    <w:rsid w:val="001E763C"/>
    <w:rsid w:val="00292ED9"/>
    <w:rsid w:val="00314AFB"/>
    <w:rsid w:val="0035338B"/>
    <w:rsid w:val="003B76D9"/>
    <w:rsid w:val="003E1E23"/>
    <w:rsid w:val="00404E5B"/>
    <w:rsid w:val="00414F7B"/>
    <w:rsid w:val="004355DC"/>
    <w:rsid w:val="004749B4"/>
    <w:rsid w:val="00494130"/>
    <w:rsid w:val="004F3523"/>
    <w:rsid w:val="00531F1F"/>
    <w:rsid w:val="005973B9"/>
    <w:rsid w:val="005B3A56"/>
    <w:rsid w:val="006060CE"/>
    <w:rsid w:val="0063497F"/>
    <w:rsid w:val="0078738A"/>
    <w:rsid w:val="00870320"/>
    <w:rsid w:val="00873DF0"/>
    <w:rsid w:val="008756E6"/>
    <w:rsid w:val="00987EA4"/>
    <w:rsid w:val="009B2D44"/>
    <w:rsid w:val="00A07E82"/>
    <w:rsid w:val="00A9710C"/>
    <w:rsid w:val="00AE3E37"/>
    <w:rsid w:val="00B21A57"/>
    <w:rsid w:val="00B809A5"/>
    <w:rsid w:val="00C33602"/>
    <w:rsid w:val="00CA024B"/>
    <w:rsid w:val="00CD6F55"/>
    <w:rsid w:val="00D212F8"/>
    <w:rsid w:val="00D62425"/>
    <w:rsid w:val="00DE3104"/>
    <w:rsid w:val="00ED112E"/>
    <w:rsid w:val="00F72EEA"/>
    <w:rsid w:val="00F8136A"/>
    <w:rsid w:val="00F82D04"/>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F3BDC"/>
  <w15:docId w15:val="{8FF28536-713E-4A38-93D8-CD23419FC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customStyle="1" w:styleId="Default">
    <w:name w:val="Default"/>
    <w:rsid w:val="0035338B"/>
    <w:pPr>
      <w:autoSpaceDE w:val="0"/>
      <w:autoSpaceDN w:val="0"/>
      <w:adjustRightInd w:val="0"/>
    </w:pPr>
    <w:rPr>
      <w:rFonts w:ascii="Myriad Pro" w:hAnsi="Myriad Pro" w:cs="Myriad Pro"/>
      <w:color w:val="000000"/>
      <w:sz w:val="24"/>
      <w:szCs w:val="24"/>
    </w:rPr>
  </w:style>
  <w:style w:type="character" w:customStyle="1" w:styleId="A10">
    <w:name w:val="A10"/>
    <w:uiPriority w:val="99"/>
    <w:rsid w:val="0035338B"/>
    <w:rPr>
      <w:rFonts w:cs="Myriad Pro Light"/>
      <w:color w:val="000000"/>
      <w:sz w:val="15"/>
      <w:szCs w:val="15"/>
    </w:rPr>
  </w:style>
  <w:style w:type="paragraph" w:customStyle="1" w:styleId="Pa9">
    <w:name w:val="Pa9"/>
    <w:basedOn w:val="Default"/>
    <w:next w:val="Default"/>
    <w:uiPriority w:val="99"/>
    <w:rsid w:val="0035338B"/>
    <w:pPr>
      <w:spacing w:before="60" w:line="201" w:lineRule="atLeast"/>
    </w:pPr>
    <w:rPr>
      <w:rFonts w:cstheme="minorBidi"/>
      <w:color w:val="auto"/>
    </w:rPr>
  </w:style>
  <w:style w:type="character" w:customStyle="1" w:styleId="skip">
    <w:name w:val="skip"/>
    <w:basedOn w:val="a0"/>
    <w:qFormat/>
    <w:rsid w:val="00ED112E"/>
  </w:style>
  <w:style w:type="character" w:customStyle="1" w:styleId="apple-converted-space">
    <w:name w:val="apple-converted-space"/>
    <w:basedOn w:val="a0"/>
    <w:rsid w:val="00ED112E"/>
  </w:style>
  <w:style w:type="paragraph" w:customStyle="1" w:styleId="details">
    <w:name w:val="details"/>
    <w:basedOn w:val="a"/>
    <w:rsid w:val="00ED112E"/>
    <w:pPr>
      <w:widowControl/>
      <w:spacing w:before="100" w:beforeAutospacing="1" w:after="100" w:afterAutospacing="1"/>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ubmed.ncbi.nlm.nih.gov/?term=Ji-Jun+H&amp;cauthor_id=32315791" TargetMode="External"/><Relationship Id="rId18" Type="http://schemas.openxmlformats.org/officeDocument/2006/relationships/hyperlink" Target="mailto:drXXXXXXX@xxx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javascript:;"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pubmed.ncbi.nlm.nih.gov/?term=Heng-Zhu+Z&amp;cauthor_id=3231579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 TargetMode="External"/><Relationship Id="rId5" Type="http://schemas.openxmlformats.org/officeDocument/2006/relationships/footnotes" Target="footnotes.xml"/><Relationship Id="rId15" Type="http://schemas.openxmlformats.org/officeDocument/2006/relationships/hyperlink" Target="https://pubmed.ncbi.nlm.nih.gov/?term=Qing+L&amp;cauthor_id=32315791" TargetMode="External"/><Relationship Id="rId10" Type="http://schemas.openxmlformats.org/officeDocument/2006/relationships/hyperlink" Target="javascrip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hyperlink" Target="https://pubmed.ncbi.nlm.nih.gov/?term=Hui-Hui+S&amp;cauthor_id=3231579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15</cp:revision>
  <dcterms:created xsi:type="dcterms:W3CDTF">2016-08-31T13:10:00Z</dcterms:created>
  <dcterms:modified xsi:type="dcterms:W3CDTF">2022-11-03T10:32:00Z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