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51BB905" w14:textId="6E0C1877" w:rsidR="00F97AE3" w:rsidRPr="00F97AE3" w:rsidRDefault="00F97AE3" w:rsidP="00F97AE3">
      <w:pPr>
        <w:spacing w:line="360" w:lineRule="auto"/>
        <w:jc w:val="both"/>
        <w:rPr>
          <w:b/>
          <w:bCs/>
        </w:rPr>
      </w:pPr>
      <w:bookmarkStart w:id="0" w:name="_GoBack"/>
      <w:bookmarkEnd w:id="0"/>
      <w:r>
        <w:rPr>
          <w:b/>
          <w:bCs/>
        </w:rPr>
        <w:t>Operative management of isolated posterior cruciate ligament injuries improves stability and reduces the incidence of secondary osteoarthritis – a systematic review.</w:t>
      </w:r>
    </w:p>
    <w:p w14:paraId="3395AD9D" w14:textId="77777777" w:rsidR="00F97AE3" w:rsidRDefault="00F97AE3" w:rsidP="00F97AE3">
      <w:pPr>
        <w:spacing w:line="360" w:lineRule="auto"/>
        <w:jc w:val="both"/>
        <w:rPr>
          <w:b/>
          <w:sz w:val="22"/>
          <w:szCs w:val="22"/>
          <w:lang w:val="en-US"/>
        </w:rPr>
      </w:pPr>
    </w:p>
    <w:p w14:paraId="7D9176D7" w14:textId="77777777" w:rsidR="00F97AE3" w:rsidRPr="007C0C8C" w:rsidRDefault="00F97AE3" w:rsidP="00F97AE3">
      <w:pPr>
        <w:spacing w:line="360" w:lineRule="auto"/>
        <w:jc w:val="both"/>
        <w:rPr>
          <w:b/>
          <w:sz w:val="22"/>
          <w:szCs w:val="22"/>
          <w:lang w:val="en-US"/>
        </w:rPr>
      </w:pPr>
      <w:r w:rsidRPr="007C0C8C">
        <w:rPr>
          <w:b/>
          <w:sz w:val="22"/>
          <w:szCs w:val="22"/>
          <w:lang w:val="en-US"/>
        </w:rPr>
        <w:t>ABSTRACT</w:t>
      </w:r>
    </w:p>
    <w:p w14:paraId="50890CF1" w14:textId="77777777" w:rsidR="00F97AE3" w:rsidRDefault="00F97AE3" w:rsidP="00F97AE3">
      <w:pPr>
        <w:spacing w:line="360" w:lineRule="auto"/>
        <w:jc w:val="both"/>
        <w:rPr>
          <w:sz w:val="22"/>
          <w:szCs w:val="22"/>
          <w:lang w:val="en-US"/>
        </w:rPr>
      </w:pPr>
      <w:r w:rsidRPr="000D4CD3">
        <w:rPr>
          <w:b/>
          <w:sz w:val="22"/>
          <w:szCs w:val="22"/>
        </w:rPr>
        <w:t>Purpose:</w:t>
      </w:r>
      <w:r>
        <w:rPr>
          <w:sz w:val="22"/>
          <w:szCs w:val="22"/>
          <w:lang w:val="en-US"/>
        </w:rPr>
        <w:t xml:space="preserve"> To evaluate the evidence for operative and non-operative management of isolated posterior cruciate ligament (PCL) injuries. </w:t>
      </w:r>
    </w:p>
    <w:p w14:paraId="34C256B0" w14:textId="77777777" w:rsidR="00F97AE3" w:rsidRDefault="00F97AE3" w:rsidP="00F97AE3">
      <w:pPr>
        <w:spacing w:line="360" w:lineRule="auto"/>
        <w:jc w:val="both"/>
        <w:rPr>
          <w:sz w:val="22"/>
          <w:szCs w:val="22"/>
          <w:lang w:val="en-US"/>
        </w:rPr>
      </w:pPr>
      <w:r w:rsidRPr="000D4CD3">
        <w:rPr>
          <w:b/>
          <w:sz w:val="22"/>
          <w:szCs w:val="22"/>
          <w:lang w:val="en-US"/>
        </w:rPr>
        <w:t>Methods:</w:t>
      </w:r>
      <w:r>
        <w:rPr>
          <w:sz w:val="22"/>
          <w:szCs w:val="22"/>
          <w:lang w:val="en-US"/>
        </w:rPr>
        <w:t xml:space="preserve"> Using Pubmed, EMBASE and Cochrane databases, </w:t>
      </w:r>
      <w:r w:rsidRPr="00F97AE3">
        <w:rPr>
          <w:sz w:val="22"/>
          <w:szCs w:val="22"/>
          <w:lang w:val="en-US"/>
        </w:rPr>
        <w:t xml:space="preserve">a systematic review was conducted of studies investigating the treatment of isolated PCL injuries published until July 2020. </w:t>
      </w:r>
      <w:r>
        <w:rPr>
          <w:sz w:val="22"/>
          <w:szCs w:val="22"/>
          <w:lang w:val="en-US"/>
        </w:rPr>
        <w:t>Quality assessment was performed with the Cochrane risk of bias tool (level I), the Newcastle-</w:t>
      </w:r>
      <w:proofErr w:type="spellStart"/>
      <w:r>
        <w:rPr>
          <w:sz w:val="22"/>
          <w:szCs w:val="22"/>
          <w:lang w:val="en-US"/>
        </w:rPr>
        <w:t>Ottowa</w:t>
      </w:r>
      <w:proofErr w:type="spellEnd"/>
      <w:r>
        <w:rPr>
          <w:sz w:val="22"/>
          <w:szCs w:val="22"/>
          <w:lang w:val="en-US"/>
        </w:rPr>
        <w:t xml:space="preserve"> Scale (level II-III) and the National Institute of Health quality assessment tool (level IV). Clinical outcome measures included r</w:t>
      </w:r>
      <w:r w:rsidRPr="00114EAF">
        <w:rPr>
          <w:sz w:val="22"/>
          <w:szCs w:val="22"/>
          <w:lang w:val="en-US"/>
        </w:rPr>
        <w:t xml:space="preserve">esidual </w:t>
      </w:r>
      <w:r>
        <w:rPr>
          <w:sz w:val="22"/>
          <w:szCs w:val="22"/>
          <w:lang w:val="en-US"/>
        </w:rPr>
        <w:t>laxity, r</w:t>
      </w:r>
      <w:r w:rsidRPr="00114EAF">
        <w:rPr>
          <w:sz w:val="22"/>
          <w:szCs w:val="22"/>
          <w:lang w:val="en-US"/>
        </w:rPr>
        <w:t>eturn to sport</w:t>
      </w:r>
      <w:r>
        <w:rPr>
          <w:sz w:val="22"/>
          <w:szCs w:val="22"/>
          <w:lang w:val="en-US"/>
        </w:rPr>
        <w:t>s, p</w:t>
      </w:r>
      <w:r w:rsidRPr="00114EAF">
        <w:rPr>
          <w:sz w:val="22"/>
          <w:szCs w:val="22"/>
          <w:lang w:val="en-US"/>
        </w:rPr>
        <w:t xml:space="preserve">atient </w:t>
      </w:r>
      <w:r>
        <w:rPr>
          <w:sz w:val="22"/>
          <w:szCs w:val="22"/>
          <w:lang w:val="en-US"/>
        </w:rPr>
        <w:t>reported outcome measures, s</w:t>
      </w:r>
      <w:r w:rsidRPr="00114EAF">
        <w:rPr>
          <w:sz w:val="22"/>
          <w:szCs w:val="22"/>
          <w:lang w:val="en-US"/>
        </w:rPr>
        <w:t xml:space="preserve">ubsequent articular </w:t>
      </w:r>
      <w:proofErr w:type="gramStart"/>
      <w:r w:rsidRPr="00114EAF">
        <w:rPr>
          <w:sz w:val="22"/>
          <w:szCs w:val="22"/>
          <w:lang w:val="en-US"/>
        </w:rPr>
        <w:t>degeneration</w:t>
      </w:r>
      <w:proofErr w:type="gramEnd"/>
      <w:r>
        <w:rPr>
          <w:sz w:val="22"/>
          <w:szCs w:val="22"/>
          <w:lang w:val="en-US"/>
        </w:rPr>
        <w:t xml:space="preserve"> and c</w:t>
      </w:r>
      <w:r w:rsidRPr="00114EAF">
        <w:rPr>
          <w:sz w:val="22"/>
          <w:szCs w:val="22"/>
          <w:lang w:val="en-US"/>
        </w:rPr>
        <w:t>omplications</w:t>
      </w:r>
      <w:r>
        <w:rPr>
          <w:sz w:val="22"/>
          <w:szCs w:val="22"/>
          <w:lang w:val="en-US"/>
        </w:rPr>
        <w:t>.</w:t>
      </w:r>
    </w:p>
    <w:p w14:paraId="1E846F50" w14:textId="77777777" w:rsidR="00F97AE3" w:rsidRDefault="00F97AE3" w:rsidP="00F97AE3">
      <w:pPr>
        <w:spacing w:line="360" w:lineRule="auto"/>
        <w:jc w:val="both"/>
        <w:rPr>
          <w:sz w:val="22"/>
          <w:szCs w:val="22"/>
          <w:lang w:val="en-US"/>
        </w:rPr>
      </w:pPr>
      <w:r w:rsidRPr="000D4CD3">
        <w:rPr>
          <w:b/>
          <w:sz w:val="22"/>
          <w:szCs w:val="22"/>
          <w:lang w:val="en-US"/>
        </w:rPr>
        <w:t xml:space="preserve">Results: </w:t>
      </w:r>
      <w:r w:rsidRPr="000D4CD3">
        <w:rPr>
          <w:sz w:val="22"/>
          <w:szCs w:val="22"/>
          <w:lang w:val="en-US"/>
        </w:rPr>
        <w:t>Twenty</w:t>
      </w:r>
      <w:r>
        <w:rPr>
          <w:sz w:val="22"/>
          <w:szCs w:val="22"/>
          <w:lang w:val="en-US"/>
        </w:rPr>
        <w:t xml:space="preserve">-seven studies (23 case-series, 2 case-control, 1 cohort study and 1 randomized controlled trial (RCT)) including 5,197 patients (5,199 knees) with a mean age of </w:t>
      </w:r>
      <w:r w:rsidRPr="007C0C8C">
        <w:rPr>
          <w:sz w:val="22"/>
          <w:szCs w:val="22"/>
          <w:lang w:val="en-US"/>
        </w:rPr>
        <w:t>29.5 ± 3.6 years (range, 15-68)</w:t>
      </w:r>
      <w:r>
        <w:rPr>
          <w:sz w:val="22"/>
          <w:szCs w:val="22"/>
          <w:lang w:val="en-US"/>
        </w:rPr>
        <w:t xml:space="preserve"> fulfilled the study requirements. Significantly less residual laxity was found after posterior cruciate ligament reconstruction (PCLR) compared to non-operative management (3.43 vs 5.47 mm, </w:t>
      </w:r>
      <w:r w:rsidRPr="007F286A">
        <w:rPr>
          <w:sz w:val="22"/>
          <w:szCs w:val="22"/>
          <w:lang w:val="en-US"/>
        </w:rPr>
        <w:t>CI: 1.84 to 2.23,</w:t>
      </w:r>
      <w:r>
        <w:rPr>
          <w:sz w:val="22"/>
          <w:szCs w:val="22"/>
          <w:lang w:val="en-US"/>
        </w:rPr>
        <w:t xml:space="preserve"> p&lt;0.001). </w:t>
      </w:r>
      <w:r w:rsidRPr="00780087">
        <w:rPr>
          <w:sz w:val="22"/>
          <w:szCs w:val="22"/>
          <w:lang w:val="en-US"/>
        </w:rPr>
        <w:t>Both treatment modalities yielded satisfying functional outcomes and a high return to sports</w:t>
      </w:r>
      <w:r>
        <w:rPr>
          <w:sz w:val="22"/>
          <w:szCs w:val="22"/>
          <w:lang w:val="en-US"/>
        </w:rPr>
        <w:t xml:space="preserve"> (64-77%, mean: 70.3, CI: 67.8-72.2)</w:t>
      </w:r>
      <w:r w:rsidRPr="00780087">
        <w:rPr>
          <w:sz w:val="22"/>
          <w:szCs w:val="22"/>
          <w:lang w:val="en-US"/>
        </w:rPr>
        <w:t>.</w:t>
      </w:r>
      <w:r>
        <w:rPr>
          <w:sz w:val="22"/>
          <w:szCs w:val="22"/>
          <w:lang w:val="en-US"/>
        </w:rPr>
        <w:t xml:space="preserve"> Osteoarthritis (OA) occurred less frequently following PCLR (21.5 vs 44.1%, p&lt;0.001). </w:t>
      </w:r>
    </w:p>
    <w:p w14:paraId="07C5CF69" w14:textId="220C48C7" w:rsidR="00F97AE3" w:rsidRPr="00F97AE3" w:rsidRDefault="00F97AE3" w:rsidP="00F97AE3">
      <w:pPr>
        <w:spacing w:line="360" w:lineRule="auto"/>
        <w:jc w:val="both"/>
        <w:rPr>
          <w:sz w:val="22"/>
          <w:szCs w:val="22"/>
          <w:lang w:val="en-US"/>
        </w:rPr>
      </w:pPr>
      <w:r w:rsidRPr="00F97AE3">
        <w:rPr>
          <w:b/>
          <w:bCs/>
          <w:sz w:val="22"/>
          <w:szCs w:val="22"/>
          <w:lang w:val="en-US"/>
        </w:rPr>
        <w:t>Conclusion:</w:t>
      </w:r>
      <w:r w:rsidRPr="00F97AE3">
        <w:rPr>
          <w:sz w:val="22"/>
          <w:szCs w:val="22"/>
          <w:lang w:val="en-US"/>
        </w:rPr>
        <w:t xml:space="preserve"> In </w:t>
      </w:r>
      <w:proofErr w:type="spellStart"/>
      <w:r w:rsidRPr="00F97AE3">
        <w:rPr>
          <w:sz w:val="22"/>
          <w:szCs w:val="22"/>
          <w:lang w:val="en-US"/>
        </w:rPr>
        <w:t>the</w:t>
      </w:r>
      <w:proofErr w:type="spellEnd"/>
      <w:r w:rsidRPr="00F97AE3">
        <w:rPr>
          <w:sz w:val="22"/>
          <w:szCs w:val="22"/>
          <w:lang w:val="en-US"/>
        </w:rPr>
        <w:t xml:space="preserve"> absence of level I </w:t>
      </w:r>
      <w:proofErr w:type="spellStart"/>
      <w:r w:rsidRPr="00F97AE3">
        <w:rPr>
          <w:sz w:val="22"/>
          <w:szCs w:val="22"/>
          <w:lang w:val="en-US"/>
        </w:rPr>
        <w:t>RCTs</w:t>
      </w:r>
      <w:proofErr w:type="spellEnd"/>
      <w:r w:rsidRPr="00F97AE3">
        <w:rPr>
          <w:sz w:val="22"/>
          <w:szCs w:val="22"/>
          <w:lang w:val="en-US"/>
        </w:rPr>
        <w:t xml:space="preserve">, </w:t>
      </w:r>
      <w:proofErr w:type="spellStart"/>
      <w:r w:rsidRPr="00F97AE3">
        <w:rPr>
          <w:sz w:val="22"/>
          <w:szCs w:val="22"/>
          <w:lang w:val="en-US"/>
        </w:rPr>
        <w:t>this</w:t>
      </w:r>
      <w:proofErr w:type="spellEnd"/>
      <w:r w:rsidRPr="00F97AE3">
        <w:rPr>
          <w:sz w:val="22"/>
          <w:szCs w:val="22"/>
          <w:lang w:val="en-US"/>
        </w:rPr>
        <w:t xml:space="preserve"> systematic review suggests that surgical management for selected isolated</w:t>
      </w:r>
      <w:r>
        <w:rPr>
          <w:sz w:val="22"/>
          <w:szCs w:val="22"/>
          <w:lang w:val="en-US"/>
        </w:rPr>
        <w:t xml:space="preserve"> </w:t>
      </w:r>
      <w:r w:rsidRPr="00F97AE3">
        <w:rPr>
          <w:sz w:val="22"/>
          <w:szCs w:val="22"/>
          <w:lang w:val="en-US"/>
        </w:rPr>
        <w:t>PCL injuries is a reasonable option to consider, especially when the surgeon aims at minimizing residual laxity and presumably</w:t>
      </w:r>
      <w:r>
        <w:rPr>
          <w:sz w:val="22"/>
          <w:szCs w:val="22"/>
          <w:lang w:val="en-US"/>
        </w:rPr>
        <w:t xml:space="preserve"> </w:t>
      </w:r>
      <w:r w:rsidRPr="00F97AE3">
        <w:rPr>
          <w:sz w:val="22"/>
          <w:szCs w:val="22"/>
          <w:lang w:val="en-US"/>
        </w:rPr>
        <w:t>secondary osteoarthritis.</w:t>
      </w:r>
    </w:p>
    <w:p w14:paraId="40C24EB2" w14:textId="7B881F72" w:rsidR="00F97AE3" w:rsidRDefault="00F97AE3" w:rsidP="00F97AE3">
      <w:pPr>
        <w:pStyle w:val="Kop1"/>
        <w:rPr>
          <w:shd w:val="clear" w:color="auto" w:fill="FFFFFF"/>
        </w:rPr>
      </w:pPr>
      <w:r>
        <w:rPr>
          <w:shd w:val="clear" w:color="auto" w:fill="FFFFFF"/>
        </w:rPr>
        <w:t>Recent publications:</w:t>
      </w:r>
    </w:p>
    <w:p w14:paraId="3D4B57DE" w14:textId="2754B087" w:rsidR="00F97AE3" w:rsidRPr="00F97AE3" w:rsidRDefault="00F97AE3" w:rsidP="00F97AE3">
      <w:pPr>
        <w:pStyle w:val="Lijstalinea"/>
        <w:numPr>
          <w:ilvl w:val="0"/>
          <w:numId w:val="1"/>
        </w:numPr>
        <w:rPr>
          <w:lang w:val="en-US"/>
        </w:rPr>
      </w:pPr>
      <w:r w:rsidRPr="00F97AE3">
        <w:rPr>
          <w:rFonts w:ascii="Arial" w:hAnsi="Arial" w:cs="Arial"/>
          <w:color w:val="252525"/>
          <w:sz w:val="23"/>
          <w:szCs w:val="23"/>
          <w:shd w:val="clear" w:color="auto" w:fill="FFFFFF"/>
        </w:rPr>
        <w:t xml:space="preserve">M6-C prosthesis failure in hybrid </w:t>
      </w:r>
      <w:proofErr w:type="gramStart"/>
      <w:r w:rsidRPr="00F97AE3">
        <w:rPr>
          <w:rFonts w:ascii="Arial" w:hAnsi="Arial" w:cs="Arial"/>
          <w:color w:val="252525"/>
          <w:sz w:val="23"/>
          <w:szCs w:val="23"/>
          <w:shd w:val="clear" w:color="auto" w:fill="FFFFFF"/>
        </w:rPr>
        <w:t>construction :</w:t>
      </w:r>
      <w:proofErr w:type="gramEnd"/>
      <w:r w:rsidRPr="00F97AE3">
        <w:rPr>
          <w:rFonts w:ascii="Arial" w:hAnsi="Arial" w:cs="Arial"/>
          <w:color w:val="252525"/>
          <w:sz w:val="23"/>
          <w:szCs w:val="23"/>
          <w:shd w:val="clear" w:color="auto" w:fill="FFFFFF"/>
        </w:rPr>
        <w:t xml:space="preserve"> a double case report</w:t>
      </w:r>
      <w:r w:rsidRPr="00F97AE3">
        <w:rPr>
          <w:rStyle w:val="apple-converted-space"/>
          <w:rFonts w:ascii="Arial" w:hAnsi="Arial" w:cs="Arial"/>
          <w:color w:val="252525"/>
          <w:sz w:val="23"/>
          <w:szCs w:val="23"/>
          <w:shd w:val="clear" w:color="auto" w:fill="FFFFFF"/>
        </w:rPr>
        <w:t> </w:t>
      </w:r>
    </w:p>
    <w:p w14:paraId="0E76BC1D" w14:textId="7704F512" w:rsidR="00F97AE3" w:rsidRDefault="00F97AE3" w:rsidP="00F97AE3">
      <w:pPr>
        <w:rPr>
          <w:rFonts w:ascii="Arial" w:hAnsi="Arial" w:cs="Arial"/>
          <w:color w:val="AFAFAF"/>
          <w:sz w:val="23"/>
          <w:szCs w:val="23"/>
        </w:rPr>
      </w:pPr>
      <w:r w:rsidRPr="00F97AE3">
        <w:rPr>
          <w:rFonts w:ascii="Arial" w:hAnsi="Arial" w:cs="Arial"/>
          <w:color w:val="AFAFAF"/>
          <w:sz w:val="23"/>
          <w:szCs w:val="23"/>
          <w:lang w:val="nl-BE"/>
        </w:rPr>
        <w:t xml:space="preserve">Schroven WG, Schroven IT. </w:t>
      </w:r>
      <w:r>
        <w:rPr>
          <w:rFonts w:ascii="Arial" w:hAnsi="Arial" w:cs="Arial"/>
          <w:color w:val="AFAFAF"/>
          <w:sz w:val="23"/>
          <w:szCs w:val="23"/>
        </w:rPr>
        <w:t xml:space="preserve">M6-C prosthesis failure in hybrid </w:t>
      </w:r>
      <w:proofErr w:type="gramStart"/>
      <w:r>
        <w:rPr>
          <w:rFonts w:ascii="Arial" w:hAnsi="Arial" w:cs="Arial"/>
          <w:color w:val="AFAFAF"/>
          <w:sz w:val="23"/>
          <w:szCs w:val="23"/>
        </w:rPr>
        <w:t>construction :</w:t>
      </w:r>
      <w:proofErr w:type="gramEnd"/>
      <w:r>
        <w:rPr>
          <w:rFonts w:ascii="Arial" w:hAnsi="Arial" w:cs="Arial"/>
          <w:color w:val="AFAFAF"/>
          <w:sz w:val="23"/>
          <w:szCs w:val="23"/>
        </w:rPr>
        <w:t xml:space="preserve"> a double case report. Acta </w:t>
      </w:r>
      <w:proofErr w:type="spellStart"/>
      <w:r>
        <w:rPr>
          <w:rFonts w:ascii="Arial" w:hAnsi="Arial" w:cs="Arial"/>
          <w:color w:val="AFAFAF"/>
          <w:sz w:val="23"/>
          <w:szCs w:val="23"/>
        </w:rPr>
        <w:t>Orthop</w:t>
      </w:r>
      <w:proofErr w:type="spellEnd"/>
      <w:r>
        <w:rPr>
          <w:rFonts w:ascii="Arial" w:hAnsi="Arial" w:cs="Arial"/>
          <w:color w:val="AFAFAF"/>
          <w:sz w:val="23"/>
          <w:szCs w:val="23"/>
        </w:rPr>
        <w:t xml:space="preserve"> Belg. 2020 Dec;86(4):724-728. PMID: 33861923.</w:t>
      </w:r>
    </w:p>
    <w:p w14:paraId="38074251" w14:textId="77777777" w:rsidR="00F97AE3" w:rsidRPr="00F97AE3" w:rsidRDefault="00F97AE3" w:rsidP="00F97AE3">
      <w:pPr>
        <w:pStyle w:val="Lijstalinea"/>
        <w:numPr>
          <w:ilvl w:val="0"/>
          <w:numId w:val="1"/>
        </w:numPr>
        <w:rPr>
          <w:lang w:val="en-US"/>
        </w:rPr>
      </w:pPr>
      <w:r w:rsidRPr="00F97AE3">
        <w:rPr>
          <w:rFonts w:ascii="Arial" w:hAnsi="Arial" w:cs="Arial"/>
          <w:color w:val="252525"/>
          <w:sz w:val="23"/>
          <w:szCs w:val="23"/>
          <w:shd w:val="clear" w:color="auto" w:fill="FFFFFF"/>
        </w:rPr>
        <w:t>Operative management of isolated posterior cruciate ligament injuries improves stability and reduces the incidence of secondary osteoarthritis: a systematic review</w:t>
      </w:r>
      <w:r w:rsidRPr="00F97AE3">
        <w:rPr>
          <w:rStyle w:val="apple-converted-space"/>
          <w:rFonts w:ascii="Arial" w:hAnsi="Arial" w:cs="Arial"/>
          <w:color w:val="252525"/>
          <w:sz w:val="23"/>
          <w:szCs w:val="23"/>
          <w:shd w:val="clear" w:color="auto" w:fill="FFFFFF"/>
        </w:rPr>
        <w:t> </w:t>
      </w:r>
    </w:p>
    <w:p w14:paraId="0987E9A2" w14:textId="77777777" w:rsidR="00F97AE3" w:rsidRPr="00F97AE3" w:rsidRDefault="00F97AE3" w:rsidP="00F97AE3">
      <w:pPr>
        <w:pStyle w:val="Lijstalinea"/>
        <w:rPr>
          <w:rFonts w:ascii="Arial" w:hAnsi="Arial" w:cs="Arial"/>
          <w:color w:val="9C9C9C"/>
          <w:sz w:val="23"/>
          <w:szCs w:val="23"/>
          <w:lang w:val="nl-BE"/>
        </w:rPr>
      </w:pPr>
      <w:r w:rsidRPr="00F97AE3">
        <w:rPr>
          <w:rFonts w:ascii="Arial" w:hAnsi="Arial" w:cs="Arial"/>
          <w:color w:val="9C9C9C"/>
          <w:sz w:val="23"/>
          <w:szCs w:val="23"/>
          <w:lang w:val="nl-BE"/>
        </w:rPr>
        <w:t>Schroven W, Vles G, Verhaegen J, Roussot M, Bellemans J, Konan S</w:t>
      </w:r>
    </w:p>
    <w:p w14:paraId="3E1A94EA" w14:textId="77777777" w:rsidR="00F97AE3" w:rsidRPr="00F97AE3" w:rsidRDefault="00F97AE3" w:rsidP="00F97AE3">
      <w:pPr>
        <w:pStyle w:val="Lijstalinea"/>
        <w:rPr>
          <w:rFonts w:ascii="Arial" w:hAnsi="Arial" w:cs="Arial"/>
          <w:color w:val="AFAFAF"/>
          <w:sz w:val="23"/>
          <w:szCs w:val="23"/>
        </w:rPr>
      </w:pPr>
      <w:r w:rsidRPr="00F97AE3">
        <w:rPr>
          <w:rFonts w:ascii="Arial" w:hAnsi="Arial" w:cs="Arial"/>
          <w:color w:val="AFAFAF"/>
          <w:sz w:val="23"/>
          <w:szCs w:val="23"/>
        </w:rPr>
        <w:t xml:space="preserve">Schroven W, </w:t>
      </w:r>
      <w:proofErr w:type="spellStart"/>
      <w:r w:rsidRPr="00F97AE3">
        <w:rPr>
          <w:rFonts w:ascii="Arial" w:hAnsi="Arial" w:cs="Arial"/>
          <w:color w:val="AFAFAF"/>
          <w:sz w:val="23"/>
          <w:szCs w:val="23"/>
        </w:rPr>
        <w:t>Vles</w:t>
      </w:r>
      <w:proofErr w:type="spellEnd"/>
      <w:r w:rsidRPr="00F97AE3">
        <w:rPr>
          <w:rFonts w:ascii="Arial" w:hAnsi="Arial" w:cs="Arial"/>
          <w:color w:val="AFAFAF"/>
          <w:sz w:val="23"/>
          <w:szCs w:val="23"/>
        </w:rPr>
        <w:t xml:space="preserve"> G, Verhaegen J, </w:t>
      </w:r>
      <w:proofErr w:type="spellStart"/>
      <w:r w:rsidRPr="00F97AE3">
        <w:rPr>
          <w:rFonts w:ascii="Arial" w:hAnsi="Arial" w:cs="Arial"/>
          <w:color w:val="AFAFAF"/>
          <w:sz w:val="23"/>
          <w:szCs w:val="23"/>
        </w:rPr>
        <w:t>Roussot</w:t>
      </w:r>
      <w:proofErr w:type="spellEnd"/>
      <w:r w:rsidRPr="00F97AE3">
        <w:rPr>
          <w:rFonts w:ascii="Arial" w:hAnsi="Arial" w:cs="Arial"/>
          <w:color w:val="AFAFAF"/>
          <w:sz w:val="23"/>
          <w:szCs w:val="23"/>
        </w:rPr>
        <w:t xml:space="preserve"> M, </w:t>
      </w:r>
      <w:proofErr w:type="spellStart"/>
      <w:r w:rsidRPr="00F97AE3">
        <w:rPr>
          <w:rFonts w:ascii="Arial" w:hAnsi="Arial" w:cs="Arial"/>
          <w:color w:val="AFAFAF"/>
          <w:sz w:val="23"/>
          <w:szCs w:val="23"/>
        </w:rPr>
        <w:t>Bellemans</w:t>
      </w:r>
      <w:proofErr w:type="spellEnd"/>
      <w:r w:rsidRPr="00F97AE3">
        <w:rPr>
          <w:rFonts w:ascii="Arial" w:hAnsi="Arial" w:cs="Arial"/>
          <w:color w:val="AFAFAF"/>
          <w:sz w:val="23"/>
          <w:szCs w:val="23"/>
        </w:rPr>
        <w:t xml:space="preserve"> J, Konan S. Operative management of isolated posterior cruciate ligament injuries improves stability and reduces the incidence of secondary osteoarthritis: a systematic review. Knee </w:t>
      </w:r>
      <w:proofErr w:type="spellStart"/>
      <w:r w:rsidRPr="00F97AE3">
        <w:rPr>
          <w:rFonts w:ascii="Arial" w:hAnsi="Arial" w:cs="Arial"/>
          <w:color w:val="AFAFAF"/>
          <w:sz w:val="23"/>
          <w:szCs w:val="23"/>
        </w:rPr>
        <w:t>Surg</w:t>
      </w:r>
      <w:proofErr w:type="spellEnd"/>
      <w:r w:rsidRPr="00F97AE3">
        <w:rPr>
          <w:rFonts w:ascii="Arial" w:hAnsi="Arial" w:cs="Arial"/>
          <w:color w:val="AFAFAF"/>
          <w:sz w:val="23"/>
          <w:szCs w:val="23"/>
        </w:rPr>
        <w:t xml:space="preserve"> Sports </w:t>
      </w:r>
      <w:proofErr w:type="spellStart"/>
      <w:r w:rsidRPr="00F97AE3">
        <w:rPr>
          <w:rFonts w:ascii="Arial" w:hAnsi="Arial" w:cs="Arial"/>
          <w:color w:val="AFAFAF"/>
          <w:sz w:val="23"/>
          <w:szCs w:val="23"/>
        </w:rPr>
        <w:t>Traumatol</w:t>
      </w:r>
      <w:proofErr w:type="spellEnd"/>
      <w:r w:rsidRPr="00F97AE3">
        <w:rPr>
          <w:rFonts w:ascii="Arial" w:hAnsi="Arial" w:cs="Arial"/>
          <w:color w:val="AFAFAF"/>
          <w:sz w:val="23"/>
          <w:szCs w:val="23"/>
        </w:rPr>
        <w:t xml:space="preserve"> </w:t>
      </w:r>
      <w:proofErr w:type="spellStart"/>
      <w:r w:rsidRPr="00F97AE3">
        <w:rPr>
          <w:rFonts w:ascii="Arial" w:hAnsi="Arial" w:cs="Arial"/>
          <w:color w:val="AFAFAF"/>
          <w:sz w:val="23"/>
          <w:szCs w:val="23"/>
        </w:rPr>
        <w:t>Arthrosc</w:t>
      </w:r>
      <w:proofErr w:type="spellEnd"/>
      <w:r w:rsidRPr="00F97AE3">
        <w:rPr>
          <w:rFonts w:ascii="Arial" w:hAnsi="Arial" w:cs="Arial"/>
          <w:color w:val="AFAFAF"/>
          <w:sz w:val="23"/>
          <w:szCs w:val="23"/>
        </w:rPr>
        <w:t xml:space="preserve">. 2021 Sep 10. </w:t>
      </w:r>
      <w:proofErr w:type="spellStart"/>
      <w:r w:rsidRPr="00F97AE3">
        <w:rPr>
          <w:rFonts w:ascii="Arial" w:hAnsi="Arial" w:cs="Arial"/>
          <w:color w:val="AFAFAF"/>
          <w:sz w:val="23"/>
          <w:szCs w:val="23"/>
        </w:rPr>
        <w:t>doi</w:t>
      </w:r>
      <w:proofErr w:type="spellEnd"/>
      <w:r w:rsidRPr="00F97AE3">
        <w:rPr>
          <w:rFonts w:ascii="Arial" w:hAnsi="Arial" w:cs="Arial"/>
          <w:color w:val="AFAFAF"/>
          <w:sz w:val="23"/>
          <w:szCs w:val="23"/>
        </w:rPr>
        <w:t xml:space="preserve">: 10.1007/s00167-021-06723-4. </w:t>
      </w:r>
      <w:proofErr w:type="spellStart"/>
      <w:r w:rsidRPr="00F97AE3">
        <w:rPr>
          <w:rFonts w:ascii="Arial" w:hAnsi="Arial" w:cs="Arial"/>
          <w:color w:val="AFAFAF"/>
          <w:sz w:val="23"/>
          <w:szCs w:val="23"/>
        </w:rPr>
        <w:t>Epub</w:t>
      </w:r>
      <w:proofErr w:type="spellEnd"/>
      <w:r w:rsidRPr="00F97AE3">
        <w:rPr>
          <w:rFonts w:ascii="Arial" w:hAnsi="Arial" w:cs="Arial"/>
          <w:color w:val="AFAFAF"/>
          <w:sz w:val="23"/>
          <w:szCs w:val="23"/>
        </w:rPr>
        <w:t xml:space="preserve"> ahead of print. PMID: 34505176</w:t>
      </w:r>
    </w:p>
    <w:p w14:paraId="252030EC" w14:textId="5FABD774" w:rsidR="00F97AE3" w:rsidRPr="00F97AE3" w:rsidRDefault="00F97AE3" w:rsidP="00F97AE3">
      <w:pPr>
        <w:pStyle w:val="Lijstalinea"/>
        <w:numPr>
          <w:ilvl w:val="0"/>
          <w:numId w:val="1"/>
        </w:numPr>
        <w:rPr>
          <w:lang w:val="en-US"/>
        </w:rPr>
      </w:pPr>
      <w:r w:rsidRPr="00F97AE3">
        <w:rPr>
          <w:rFonts w:ascii="Arial" w:hAnsi="Arial" w:cs="Arial"/>
          <w:color w:val="252525"/>
          <w:sz w:val="23"/>
          <w:szCs w:val="23"/>
          <w:shd w:val="clear" w:color="auto" w:fill="FFFFFF"/>
        </w:rPr>
        <w:t>Avulsion Fracture of the Posterior Tibiofibular Syndesmosis</w:t>
      </w:r>
      <w:r w:rsidRPr="00F97AE3">
        <w:rPr>
          <w:rStyle w:val="apple-converted-space"/>
          <w:rFonts w:ascii="Arial" w:hAnsi="Arial" w:cs="Arial"/>
          <w:color w:val="252525"/>
          <w:sz w:val="23"/>
          <w:szCs w:val="23"/>
          <w:shd w:val="clear" w:color="auto" w:fill="FFFFFF"/>
        </w:rPr>
        <w:t> </w:t>
      </w:r>
    </w:p>
    <w:p w14:paraId="5F01A074" w14:textId="77777777" w:rsidR="00F97AE3" w:rsidRDefault="00F97AE3" w:rsidP="00F97AE3">
      <w:pPr>
        <w:rPr>
          <w:rFonts w:ascii="Arial" w:hAnsi="Arial" w:cs="Arial"/>
          <w:color w:val="9C9C9C"/>
          <w:sz w:val="23"/>
          <w:szCs w:val="23"/>
        </w:rPr>
      </w:pPr>
      <w:r>
        <w:rPr>
          <w:rFonts w:ascii="Arial" w:hAnsi="Arial" w:cs="Arial"/>
          <w:color w:val="9C9C9C"/>
          <w:sz w:val="23"/>
          <w:szCs w:val="23"/>
        </w:rPr>
        <w:t>Schroven W, Boone P, Vanhoenacker F</w:t>
      </w:r>
    </w:p>
    <w:p w14:paraId="5C75705C" w14:textId="77777777" w:rsidR="00F97AE3" w:rsidRDefault="00F97AE3" w:rsidP="00F97AE3">
      <w:pPr>
        <w:rPr>
          <w:rFonts w:ascii="Arial" w:hAnsi="Arial" w:cs="Arial"/>
          <w:color w:val="AFAFAF"/>
          <w:sz w:val="23"/>
          <w:szCs w:val="23"/>
        </w:rPr>
      </w:pPr>
      <w:r>
        <w:rPr>
          <w:rFonts w:ascii="Arial" w:hAnsi="Arial" w:cs="Arial"/>
          <w:color w:val="AFAFAF"/>
          <w:sz w:val="23"/>
          <w:szCs w:val="23"/>
        </w:rPr>
        <w:t xml:space="preserve">Schroven W, Boone P, Vanhoenacker F. Avulsion Fracture of the Posterior Tibiofibular Syndesmosis. Journal of the Belgian Society </w:t>
      </w:r>
      <w:proofErr w:type="spellStart"/>
      <w:r>
        <w:rPr>
          <w:rFonts w:ascii="Arial" w:hAnsi="Arial" w:cs="Arial"/>
          <w:color w:val="AFAFAF"/>
          <w:sz w:val="23"/>
          <w:szCs w:val="23"/>
        </w:rPr>
        <w:t>ofRadiology</w:t>
      </w:r>
      <w:proofErr w:type="spellEnd"/>
      <w:r>
        <w:rPr>
          <w:rFonts w:ascii="Arial" w:hAnsi="Arial" w:cs="Arial"/>
          <w:color w:val="AFAFAF"/>
          <w:sz w:val="23"/>
          <w:szCs w:val="23"/>
        </w:rPr>
        <w:t xml:space="preserve">. 2022; 106(1): 82, 1–3. (PDF) Avulsion Fracture of the Posterior Tibiofibular Syndesmosis. Available from: </w:t>
      </w:r>
      <w:r>
        <w:rPr>
          <w:rFonts w:ascii="Arial" w:hAnsi="Arial" w:cs="Arial"/>
          <w:color w:val="AFAFAF"/>
          <w:sz w:val="23"/>
          <w:szCs w:val="23"/>
        </w:rPr>
        <w:lastRenderedPageBreak/>
        <w:t>https://www.researchgate.net/publication/363743677_Avulsion_Fracture_of_the_Posterior_Tibiofibular_Syndesmosis [accessed Oct 05</w:t>
      </w:r>
      <w:proofErr w:type="gramStart"/>
      <w:r>
        <w:rPr>
          <w:rFonts w:ascii="Arial" w:hAnsi="Arial" w:cs="Arial"/>
          <w:color w:val="AFAFAF"/>
          <w:sz w:val="23"/>
          <w:szCs w:val="23"/>
        </w:rPr>
        <w:t xml:space="preserve"> 2022</w:t>
      </w:r>
      <w:proofErr w:type="gramEnd"/>
      <w:r>
        <w:rPr>
          <w:rFonts w:ascii="Arial" w:hAnsi="Arial" w:cs="Arial"/>
          <w:color w:val="AFAFAF"/>
          <w:sz w:val="23"/>
          <w:szCs w:val="23"/>
        </w:rPr>
        <w:t>].</w:t>
      </w:r>
    </w:p>
    <w:p w14:paraId="7BEA36B3" w14:textId="41F28628" w:rsidR="00F97AE3" w:rsidRPr="00F97AE3" w:rsidRDefault="00F97AE3">
      <w:pPr>
        <w:rPr>
          <w:sz w:val="21"/>
          <w:szCs w:val="21"/>
          <w:lang w:val="en-US"/>
        </w:rPr>
      </w:pPr>
    </w:p>
    <w:sectPr w:rsidR="00F97AE3" w:rsidRPr="00F97AE3" w:rsidSect="00122544">
      <w:pgSz w:w="11900" w:h="16840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ACFF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76E59E7"/>
    <w:multiLevelType w:val="hybridMultilevel"/>
    <w:tmpl w:val="C3900CD2"/>
    <w:lvl w:ilvl="0" w:tplc="E808FB2E">
      <w:start w:val="1"/>
      <w:numFmt w:val="decimal"/>
      <w:lvlText w:val="%1."/>
      <w:lvlJc w:val="left"/>
      <w:pPr>
        <w:ind w:left="720" w:hanging="360"/>
      </w:pPr>
      <w:rPr>
        <w:rFonts w:ascii="Arial" w:hAnsi="Arial" w:cs="Arial" w:hint="default"/>
        <w:color w:val="252525"/>
        <w:sz w:val="23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4145680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97AE3"/>
    <w:rsid w:val="000249C3"/>
    <w:rsid w:val="000A5CB6"/>
    <w:rsid w:val="00122544"/>
    <w:rsid w:val="001A5C09"/>
    <w:rsid w:val="001E3F2D"/>
    <w:rsid w:val="002348AC"/>
    <w:rsid w:val="00276F20"/>
    <w:rsid w:val="003035BF"/>
    <w:rsid w:val="00341535"/>
    <w:rsid w:val="00361541"/>
    <w:rsid w:val="0048018E"/>
    <w:rsid w:val="0049003B"/>
    <w:rsid w:val="005E1D81"/>
    <w:rsid w:val="00627561"/>
    <w:rsid w:val="006C73D5"/>
    <w:rsid w:val="00772CF1"/>
    <w:rsid w:val="00934C8F"/>
    <w:rsid w:val="00975F4E"/>
    <w:rsid w:val="009B6AE4"/>
    <w:rsid w:val="009D5AA3"/>
    <w:rsid w:val="00A61F4D"/>
    <w:rsid w:val="00B57854"/>
    <w:rsid w:val="00BC6C22"/>
    <w:rsid w:val="00C44B00"/>
    <w:rsid w:val="00C94664"/>
    <w:rsid w:val="00E1593B"/>
    <w:rsid w:val="00E338B9"/>
    <w:rsid w:val="00EE5453"/>
    <w:rsid w:val="00F72548"/>
    <w:rsid w:val="00F97AE3"/>
    <w:rsid w:val="00FF6A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BE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1DF889C5"/>
  <w15:chartTrackingRefBased/>
  <w15:docId w15:val="{4B454336-A67C-9641-956E-30D468F26F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nl-BE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F97AE3"/>
    <w:rPr>
      <w:rFonts w:ascii="Times New Roman" w:eastAsia="Times New Roman" w:hAnsi="Times New Roman" w:cs="Times New Roman"/>
      <w:lang w:val="en-GB" w:eastAsia="nl-NL"/>
    </w:rPr>
  </w:style>
  <w:style w:type="paragraph" w:styleId="Kop1">
    <w:name w:val="heading 1"/>
    <w:basedOn w:val="Standaard"/>
    <w:next w:val="Standaard"/>
    <w:link w:val="Kop1Char"/>
    <w:uiPriority w:val="9"/>
    <w:qFormat/>
    <w:rsid w:val="00F97AE3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Kop2">
    <w:name w:val="heading 2"/>
    <w:basedOn w:val="Standaard"/>
    <w:next w:val="Standaard"/>
    <w:link w:val="Kop2Char"/>
    <w:uiPriority w:val="9"/>
    <w:unhideWhenUsed/>
    <w:qFormat/>
    <w:rsid w:val="00F97AE3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apple-converted-space">
    <w:name w:val="apple-converted-space"/>
    <w:basedOn w:val="Standaardalinea-lettertype"/>
    <w:rsid w:val="00F97AE3"/>
  </w:style>
  <w:style w:type="paragraph" w:styleId="Lijstalinea">
    <w:name w:val="List Paragraph"/>
    <w:basedOn w:val="Standaard"/>
    <w:uiPriority w:val="34"/>
    <w:qFormat/>
    <w:rsid w:val="00F97AE3"/>
    <w:pPr>
      <w:ind w:left="720"/>
      <w:contextualSpacing/>
    </w:pPr>
  </w:style>
  <w:style w:type="character" w:customStyle="1" w:styleId="Kop1Char">
    <w:name w:val="Kop 1 Char"/>
    <w:basedOn w:val="Standaardalinea-lettertype"/>
    <w:link w:val="Kop1"/>
    <w:uiPriority w:val="9"/>
    <w:rsid w:val="00F97AE3"/>
    <w:rPr>
      <w:rFonts w:asciiTheme="majorHAnsi" w:eastAsiaTheme="majorEastAsia" w:hAnsiTheme="majorHAnsi" w:cstheme="majorBidi"/>
      <w:color w:val="2F5496" w:themeColor="accent1" w:themeShade="BF"/>
      <w:sz w:val="32"/>
      <w:szCs w:val="32"/>
      <w:lang w:val="en-GB" w:eastAsia="nl-NL"/>
    </w:rPr>
  </w:style>
  <w:style w:type="character" w:customStyle="1" w:styleId="Kop2Char">
    <w:name w:val="Kop 2 Char"/>
    <w:basedOn w:val="Standaardalinea-lettertype"/>
    <w:link w:val="Kop2"/>
    <w:uiPriority w:val="9"/>
    <w:rsid w:val="00F97AE3"/>
    <w:rPr>
      <w:rFonts w:asciiTheme="majorHAnsi" w:eastAsiaTheme="majorEastAsia" w:hAnsiTheme="majorHAnsi" w:cstheme="majorBidi"/>
      <w:color w:val="2F5496" w:themeColor="accent1" w:themeShade="BF"/>
      <w:sz w:val="26"/>
      <w:szCs w:val="26"/>
      <w:lang w:val="en-GB" w:eastAsia="nl-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68653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733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398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2</Pages>
  <Words>472</Words>
  <Characters>2598</Characters>
  <Application>Microsoft Office Word</Application>
  <DocSecurity>0</DocSecurity>
  <Lines>21</Lines>
  <Paragraphs>6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Wouter Schroven</dc:creator>
  <cp:keywords/>
  <dc:description/>
  <cp:lastModifiedBy>Wouter Schroven</cp:lastModifiedBy>
  <cp:revision>1</cp:revision>
  <dcterms:created xsi:type="dcterms:W3CDTF">2022-10-18T21:14:00Z</dcterms:created>
  <dcterms:modified xsi:type="dcterms:W3CDTF">2022-10-18T21:24:00Z</dcterms:modified>
</cp:coreProperties>
</file>