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74F30" w:rsidRPr="000831FA" w:rsidRDefault="00174F30" w:rsidP="00174F30">
      <w:pPr>
        <w:spacing w:after="160" w:line="360" w:lineRule="auto"/>
        <w:jc w:val="center"/>
        <w:rPr>
          <w:rFonts w:ascii="Verdana" w:eastAsia="Calibri" w:hAnsi="Verdana" w:cs="Calibri"/>
          <w:b/>
          <w:color w:val="000000" w:themeColor="text1"/>
          <w:sz w:val="32"/>
          <w:szCs w:val="32"/>
          <w:u w:val="single"/>
        </w:rPr>
      </w:pPr>
      <w:r w:rsidRPr="000831FA">
        <w:rPr>
          <w:rFonts w:ascii="Verdana" w:eastAsia="Calibri" w:hAnsi="Verdana" w:cs="Calibri"/>
          <w:b/>
          <w:bCs/>
          <w:color w:val="000000" w:themeColor="text1"/>
          <w:sz w:val="32"/>
          <w:szCs w:val="32"/>
          <w:u w:val="single"/>
        </w:rPr>
        <w:t>1.</w:t>
      </w:r>
      <w:r w:rsidRPr="000831FA">
        <w:rPr>
          <w:rFonts w:ascii="Verdana" w:eastAsia="Calibri" w:hAnsi="Verdana" w:cs="Calibri"/>
          <w:b/>
          <w:color w:val="000000" w:themeColor="text1"/>
          <w:sz w:val="32"/>
          <w:szCs w:val="32"/>
          <w:u w:val="single"/>
        </w:rPr>
        <w:t>Abstract</w:t>
      </w:r>
    </w:p>
    <w:p w:rsidR="00174F30" w:rsidRDefault="00174F30" w:rsidP="00174F30">
      <w:pPr>
        <w:spacing w:after="0" w:line="240" w:lineRule="auto"/>
        <w:jc w:val="center"/>
        <w:rPr>
          <w:rFonts w:ascii="Verdana" w:eastAsia="Calibri" w:hAnsi="Verdana" w:cs="Calibri"/>
          <w:b/>
          <w:color w:val="000000" w:themeColor="text1"/>
          <w:sz w:val="18"/>
          <w:szCs w:val="18"/>
          <w:lang w:val="en-GB"/>
        </w:rPr>
      </w:pPr>
      <w:bookmarkStart w:id="0" w:name="_GoBack"/>
      <w:bookmarkEnd w:id="0"/>
      <w:r>
        <w:rPr>
          <w:rFonts w:ascii="Verdana" w:eastAsia="Calibri" w:hAnsi="Verdana" w:cs="Calibri"/>
          <w:b/>
          <w:color w:val="000000" w:themeColor="text1"/>
          <w:sz w:val="18"/>
          <w:szCs w:val="18"/>
          <w:lang w:val="en-GB"/>
        </w:rPr>
        <w:t xml:space="preserve">Evaluation of </w:t>
      </w:r>
      <w:r w:rsidRPr="000831FA">
        <w:rPr>
          <w:rFonts w:ascii="Verdana" w:eastAsia="Calibri" w:hAnsi="Verdana" w:cs="Calibri"/>
          <w:b/>
          <w:color w:val="000000" w:themeColor="text1"/>
          <w:sz w:val="18"/>
          <w:szCs w:val="18"/>
          <w:lang w:val="en-GB"/>
        </w:rPr>
        <w:t xml:space="preserve">G-protein coupled receptor </w:t>
      </w:r>
      <w:r>
        <w:rPr>
          <w:rFonts w:ascii="Verdana" w:eastAsia="Calibri" w:hAnsi="Verdana" w:cs="Calibri"/>
          <w:b/>
          <w:color w:val="000000" w:themeColor="text1"/>
          <w:sz w:val="18"/>
          <w:szCs w:val="18"/>
          <w:lang w:val="en-GB"/>
        </w:rPr>
        <w:t xml:space="preserve">auto antibodies </w:t>
      </w:r>
      <w:r w:rsidRPr="000831FA">
        <w:rPr>
          <w:rFonts w:ascii="Verdana" w:eastAsia="Calibri" w:hAnsi="Verdana" w:cs="Calibri"/>
          <w:b/>
          <w:color w:val="000000" w:themeColor="text1"/>
          <w:sz w:val="18"/>
          <w:szCs w:val="18"/>
          <w:lang w:val="en-GB"/>
        </w:rPr>
        <w:t xml:space="preserve">implications in </w:t>
      </w:r>
      <w:proofErr w:type="spellStart"/>
      <w:r w:rsidRPr="000831FA">
        <w:rPr>
          <w:rFonts w:ascii="Verdana" w:eastAsia="Calibri" w:hAnsi="Verdana" w:cs="Calibri"/>
          <w:b/>
          <w:color w:val="000000" w:themeColor="text1"/>
          <w:sz w:val="18"/>
          <w:szCs w:val="18"/>
          <w:lang w:val="en-GB"/>
        </w:rPr>
        <w:t>myalgic</w:t>
      </w:r>
      <w:proofErr w:type="spellEnd"/>
      <w:r w:rsidRPr="000831FA">
        <w:rPr>
          <w:rFonts w:ascii="Verdana" w:eastAsia="Calibri" w:hAnsi="Verdana" w:cs="Calibri"/>
          <w:b/>
          <w:color w:val="000000" w:themeColor="text1"/>
          <w:sz w:val="18"/>
          <w:szCs w:val="18"/>
          <w:lang w:val="en-GB"/>
        </w:rPr>
        <w:t xml:space="preserve"> encephalomyelitis and the potentiality of current and novel therapeutics.</w:t>
      </w:r>
      <w:r>
        <w:rPr>
          <w:rFonts w:ascii="Verdana" w:eastAsia="Calibri" w:hAnsi="Verdana" w:cs="Calibri"/>
          <w:b/>
          <w:color w:val="000000" w:themeColor="text1"/>
          <w:sz w:val="18"/>
          <w:szCs w:val="18"/>
          <w:lang w:val="en-GB"/>
        </w:rPr>
        <w:t xml:space="preserve"> </w:t>
      </w:r>
    </w:p>
    <w:p w:rsidR="00174F30" w:rsidRDefault="00174F30" w:rsidP="00174F30">
      <w:pPr>
        <w:spacing w:after="0" w:line="360" w:lineRule="auto"/>
        <w:rPr>
          <w:rFonts w:ascii="Verdana" w:eastAsia="Calibri" w:hAnsi="Verdana" w:cs="Calibri"/>
          <w:b/>
          <w:color w:val="000000" w:themeColor="text1"/>
          <w:sz w:val="18"/>
          <w:szCs w:val="18"/>
        </w:rPr>
      </w:pPr>
    </w:p>
    <w:p w:rsidR="00174F30" w:rsidRPr="00EF02C7" w:rsidRDefault="00174F30" w:rsidP="00174F30">
      <w:pPr>
        <w:spacing w:after="0" w:line="360" w:lineRule="auto"/>
        <w:rPr>
          <w:rFonts w:ascii="Verdana" w:eastAsia="Calibri" w:hAnsi="Verdana" w:cs="Calibri"/>
          <w:b/>
          <w:bCs/>
          <w:color w:val="000000" w:themeColor="text1"/>
          <w:sz w:val="18"/>
          <w:szCs w:val="18"/>
        </w:rPr>
      </w:pPr>
      <w:r w:rsidRPr="00EF02C7">
        <w:rPr>
          <w:rFonts w:ascii="Verdana" w:eastAsia="Calibri" w:hAnsi="Verdana" w:cs="Calibri"/>
          <w:b/>
          <w:color w:val="000000" w:themeColor="text1"/>
          <w:sz w:val="18"/>
          <w:szCs w:val="18"/>
        </w:rPr>
        <w:t>Background</w:t>
      </w:r>
    </w:p>
    <w:p w:rsidR="00174F30" w:rsidRDefault="00174F30" w:rsidP="00174F30">
      <w:pPr>
        <w:spacing w:after="0" w:line="360" w:lineRule="auto"/>
        <w:rPr>
          <w:rFonts w:ascii="Verdana" w:eastAsia="Calibri" w:hAnsi="Verdana" w:cs="Calibri"/>
          <w:color w:val="000000" w:themeColor="text1"/>
          <w:sz w:val="18"/>
          <w:szCs w:val="18"/>
        </w:rPr>
      </w:pPr>
      <w:r w:rsidRPr="00EF02C7">
        <w:rPr>
          <w:rFonts w:ascii="Verdana" w:eastAsia="Calibri" w:hAnsi="Verdana" w:cs="Calibri"/>
          <w:b/>
          <w:color w:val="000000" w:themeColor="text1"/>
          <w:sz w:val="18"/>
          <w:szCs w:val="18"/>
        </w:rPr>
        <w:t xml:space="preserve"> </w:t>
      </w:r>
      <w:r w:rsidRPr="00EF02C7">
        <w:rPr>
          <w:rFonts w:ascii="Verdana" w:eastAsia="Calibri" w:hAnsi="Verdana" w:cs="Calibri"/>
          <w:color w:val="000000" w:themeColor="text1"/>
          <w:sz w:val="18"/>
          <w:szCs w:val="18"/>
        </w:rPr>
        <w:t xml:space="preserve">Myalgic encephalomyelitis (ME) is a disease </w:t>
      </w:r>
      <w:proofErr w:type="spellStart"/>
      <w:r w:rsidRPr="00EF02C7">
        <w:rPr>
          <w:rFonts w:ascii="Verdana" w:eastAsia="Calibri" w:hAnsi="Verdana" w:cs="Calibri"/>
          <w:color w:val="000000" w:themeColor="text1"/>
          <w:sz w:val="18"/>
          <w:szCs w:val="18"/>
        </w:rPr>
        <w:t>characterised</w:t>
      </w:r>
      <w:proofErr w:type="spellEnd"/>
      <w:r w:rsidRPr="00EF02C7">
        <w:rPr>
          <w:rFonts w:ascii="Verdana" w:eastAsia="Calibri" w:hAnsi="Verdana" w:cs="Calibri"/>
          <w:color w:val="000000" w:themeColor="text1"/>
          <w:sz w:val="18"/>
          <w:szCs w:val="18"/>
        </w:rPr>
        <w:t xml:space="preserve"> by symptoms such as fatigue, post-exertional malaise, and cognitive impairment. The </w:t>
      </w:r>
      <w:proofErr w:type="spellStart"/>
      <w:r w:rsidRPr="00EF02C7">
        <w:rPr>
          <w:rFonts w:ascii="Verdana" w:eastAsia="Calibri" w:hAnsi="Verdana" w:cs="Calibri"/>
          <w:color w:val="000000" w:themeColor="text1"/>
          <w:sz w:val="18"/>
          <w:szCs w:val="18"/>
        </w:rPr>
        <w:t>pathomechanism</w:t>
      </w:r>
      <w:proofErr w:type="spellEnd"/>
      <w:r w:rsidRPr="00EF02C7">
        <w:rPr>
          <w:rFonts w:ascii="Verdana" w:eastAsia="Calibri" w:hAnsi="Verdana" w:cs="Calibri"/>
          <w:color w:val="000000" w:themeColor="text1"/>
          <w:sz w:val="18"/>
          <w:szCs w:val="18"/>
        </w:rPr>
        <w:t xml:space="preserve"> of ME is undetermined, but one theory suggests that G-protein coupled receptors (GPCRs), specifically the adrenergic and muscarinic </w:t>
      </w:r>
      <w:proofErr w:type="spellStart"/>
      <w:r w:rsidRPr="00EF02C7">
        <w:rPr>
          <w:rFonts w:ascii="Verdana" w:eastAsia="Calibri" w:hAnsi="Verdana" w:cs="Calibri"/>
          <w:b/>
          <w:i/>
          <w:color w:val="000000" w:themeColor="text1"/>
          <w:sz w:val="18"/>
          <w:szCs w:val="18"/>
        </w:rPr>
        <w:t>vasodilative</w:t>
      </w:r>
      <w:proofErr w:type="spellEnd"/>
      <w:r w:rsidRPr="00EF02C7">
        <w:rPr>
          <w:rFonts w:ascii="Verdana" w:eastAsia="Calibri" w:hAnsi="Verdana" w:cs="Calibri"/>
          <w:color w:val="000000" w:themeColor="text1"/>
          <w:sz w:val="18"/>
          <w:szCs w:val="18"/>
        </w:rPr>
        <w:t xml:space="preserve"> receptors, are compromised. Cerebral and skeletal hypoperfusion induced by impaired GPCR-mediated vasodilation could result in many of the symptoms seen. Evidence suggests that pathogenic autoantibodies produced by B-cells cause GPCR dysfunction. As our understanding of ME remains obscure, it is often undiagnosed/misdiagnosed; therefore, conducting research is pivotal to improve patient outcomes.</w:t>
      </w:r>
    </w:p>
    <w:p w:rsidR="00174F30" w:rsidRPr="00EF02C7" w:rsidRDefault="00174F30" w:rsidP="00174F30">
      <w:pPr>
        <w:spacing w:after="0" w:line="360" w:lineRule="auto"/>
        <w:rPr>
          <w:rFonts w:ascii="Verdana" w:eastAsia="Calibri" w:hAnsi="Verdana" w:cs="Calibri"/>
          <w:color w:val="000000" w:themeColor="text1"/>
          <w:sz w:val="18"/>
          <w:szCs w:val="18"/>
        </w:rPr>
      </w:pPr>
    </w:p>
    <w:p w:rsidR="00174F30" w:rsidRPr="00EF02C7" w:rsidRDefault="00174F30" w:rsidP="00174F30">
      <w:pPr>
        <w:spacing w:after="0" w:line="360" w:lineRule="auto"/>
        <w:rPr>
          <w:rFonts w:ascii="Verdana" w:eastAsia="Calibri" w:hAnsi="Verdana" w:cs="Calibri"/>
          <w:b/>
          <w:bCs/>
          <w:color w:val="000000" w:themeColor="text1"/>
          <w:sz w:val="18"/>
          <w:szCs w:val="18"/>
        </w:rPr>
      </w:pPr>
      <w:r w:rsidRPr="00EF02C7">
        <w:rPr>
          <w:rFonts w:ascii="Verdana" w:eastAsia="Calibri" w:hAnsi="Verdana" w:cs="Calibri"/>
          <w:b/>
          <w:color w:val="000000" w:themeColor="text1"/>
          <w:sz w:val="18"/>
          <w:szCs w:val="18"/>
        </w:rPr>
        <w:t>Aims</w:t>
      </w:r>
    </w:p>
    <w:p w:rsidR="00174F30" w:rsidRPr="00EF02C7" w:rsidRDefault="00174F30" w:rsidP="00174F30">
      <w:pPr>
        <w:spacing w:after="0" w:line="360" w:lineRule="auto"/>
        <w:rPr>
          <w:rFonts w:ascii="Verdana" w:eastAsia="Calibri" w:hAnsi="Verdana" w:cs="Calibri"/>
          <w:color w:val="000000" w:themeColor="text1"/>
          <w:sz w:val="18"/>
          <w:szCs w:val="18"/>
        </w:rPr>
      </w:pPr>
      <w:r w:rsidRPr="00EF02C7">
        <w:rPr>
          <w:rFonts w:ascii="Verdana" w:eastAsia="Calibri" w:hAnsi="Verdana" w:cs="Calibri"/>
          <w:b/>
          <w:color w:val="000000" w:themeColor="text1"/>
          <w:sz w:val="18"/>
          <w:szCs w:val="18"/>
        </w:rPr>
        <w:t xml:space="preserve"> </w:t>
      </w:r>
      <w:r w:rsidRPr="00EF02C7">
        <w:rPr>
          <w:rFonts w:ascii="Verdana" w:eastAsia="Calibri" w:hAnsi="Verdana" w:cs="Calibri"/>
          <w:color w:val="000000" w:themeColor="text1"/>
          <w:sz w:val="18"/>
          <w:szCs w:val="18"/>
        </w:rPr>
        <w:t>This paper aims to:</w:t>
      </w:r>
    </w:p>
    <w:p w:rsidR="00174F30" w:rsidRPr="00EF02C7" w:rsidRDefault="00174F30" w:rsidP="00174F30">
      <w:pPr>
        <w:spacing w:after="0" w:line="360" w:lineRule="auto"/>
        <w:rPr>
          <w:rFonts w:ascii="Verdana" w:eastAsia="Calibri" w:hAnsi="Verdana" w:cs="Calibri"/>
          <w:color w:val="000000" w:themeColor="text1"/>
          <w:sz w:val="18"/>
          <w:szCs w:val="18"/>
        </w:rPr>
      </w:pPr>
      <w:r w:rsidRPr="00EF02C7">
        <w:rPr>
          <w:rFonts w:ascii="Verdana" w:eastAsia="Calibri" w:hAnsi="Verdana" w:cs="Calibri"/>
          <w:color w:val="000000" w:themeColor="text1"/>
          <w:sz w:val="18"/>
          <w:szCs w:val="18"/>
        </w:rPr>
        <w:t xml:space="preserve"> 1) appraise literature that identifies a relationship between ME and impaired GPCRs </w:t>
      </w:r>
    </w:p>
    <w:p w:rsidR="00174F30" w:rsidRPr="00EF02C7" w:rsidRDefault="00174F30" w:rsidP="00174F30">
      <w:pPr>
        <w:spacing w:after="0" w:line="360" w:lineRule="auto"/>
        <w:rPr>
          <w:rFonts w:ascii="Verdana" w:eastAsia="Calibri" w:hAnsi="Verdana" w:cs="Calibri"/>
          <w:color w:val="000000" w:themeColor="text1"/>
          <w:sz w:val="18"/>
          <w:szCs w:val="18"/>
        </w:rPr>
      </w:pPr>
      <w:r w:rsidRPr="00EF02C7">
        <w:rPr>
          <w:rFonts w:ascii="Verdana" w:eastAsia="Calibri" w:hAnsi="Verdana" w:cs="Calibri"/>
          <w:color w:val="000000" w:themeColor="text1"/>
          <w:sz w:val="18"/>
          <w:szCs w:val="18"/>
        </w:rPr>
        <w:t xml:space="preserve">2) evaluate the efficacy of treatments that remove autoantibodies, specifically, immunoadsorption and </w:t>
      </w:r>
      <w:r>
        <w:rPr>
          <w:rFonts w:ascii="Verdana" w:eastAsia="Calibri" w:hAnsi="Verdana" w:cs="Calibri"/>
          <w:color w:val="000000" w:themeColor="text1"/>
          <w:sz w:val="18"/>
          <w:szCs w:val="18"/>
        </w:rPr>
        <w:t xml:space="preserve">  </w:t>
      </w:r>
      <w:r w:rsidRPr="00EF02C7">
        <w:rPr>
          <w:rFonts w:ascii="Verdana" w:eastAsia="Calibri" w:hAnsi="Verdana" w:cs="Calibri"/>
          <w:color w:val="000000" w:themeColor="text1"/>
          <w:sz w:val="18"/>
          <w:szCs w:val="18"/>
        </w:rPr>
        <w:t xml:space="preserve">B-cell depletion therapies (Rituximab and Cyclophosphamide) </w:t>
      </w:r>
    </w:p>
    <w:p w:rsidR="00174F30" w:rsidRPr="00EF02C7" w:rsidRDefault="00174F30" w:rsidP="00174F30">
      <w:pPr>
        <w:spacing w:after="0" w:line="360" w:lineRule="auto"/>
        <w:rPr>
          <w:rFonts w:ascii="Verdana" w:eastAsia="Calibri" w:hAnsi="Verdana" w:cs="Calibri"/>
          <w:color w:val="000000" w:themeColor="text1"/>
          <w:sz w:val="18"/>
          <w:szCs w:val="18"/>
        </w:rPr>
      </w:pPr>
      <w:r w:rsidRPr="00EF02C7">
        <w:rPr>
          <w:rFonts w:ascii="Verdana" w:eastAsia="Calibri" w:hAnsi="Verdana" w:cs="Calibri"/>
          <w:color w:val="000000" w:themeColor="text1"/>
          <w:sz w:val="18"/>
          <w:szCs w:val="18"/>
        </w:rPr>
        <w:t xml:space="preserve"> 3) Investigate the prospective value of using aptamers to </w:t>
      </w:r>
      <w:proofErr w:type="spellStart"/>
      <w:r w:rsidRPr="00EF02C7">
        <w:rPr>
          <w:rFonts w:ascii="Verdana" w:eastAsia="Calibri" w:hAnsi="Verdana" w:cs="Calibri"/>
          <w:color w:val="000000" w:themeColor="text1"/>
          <w:sz w:val="18"/>
          <w:szCs w:val="18"/>
        </w:rPr>
        <w:t>neutralise</w:t>
      </w:r>
      <w:proofErr w:type="spellEnd"/>
      <w:r w:rsidRPr="00EF02C7">
        <w:rPr>
          <w:rFonts w:ascii="Verdana" w:eastAsia="Calibri" w:hAnsi="Verdana" w:cs="Calibri"/>
          <w:color w:val="000000" w:themeColor="text1"/>
          <w:sz w:val="18"/>
          <w:szCs w:val="18"/>
        </w:rPr>
        <w:t xml:space="preserve"> autoantibodies.</w:t>
      </w:r>
    </w:p>
    <w:p w:rsidR="00174F30" w:rsidRPr="00EF02C7" w:rsidRDefault="00174F30" w:rsidP="00174F30">
      <w:pPr>
        <w:spacing w:after="0" w:line="360" w:lineRule="auto"/>
        <w:rPr>
          <w:rFonts w:ascii="Verdana" w:eastAsia="Calibri" w:hAnsi="Verdana" w:cs="Calibri"/>
          <w:color w:val="000000" w:themeColor="text1"/>
          <w:sz w:val="18"/>
          <w:szCs w:val="18"/>
        </w:rPr>
      </w:pPr>
    </w:p>
    <w:p w:rsidR="00174F30" w:rsidRPr="00EF02C7" w:rsidRDefault="00174F30" w:rsidP="00174F30">
      <w:pPr>
        <w:spacing w:after="0" w:line="360" w:lineRule="auto"/>
        <w:rPr>
          <w:rFonts w:ascii="Verdana" w:eastAsia="Calibri" w:hAnsi="Verdana" w:cs="Calibri"/>
          <w:b/>
          <w:bCs/>
          <w:color w:val="000000" w:themeColor="text1"/>
          <w:sz w:val="18"/>
          <w:szCs w:val="18"/>
        </w:rPr>
      </w:pPr>
      <w:r w:rsidRPr="00EF02C7">
        <w:rPr>
          <w:rFonts w:ascii="Verdana" w:eastAsia="Calibri" w:hAnsi="Verdana" w:cs="Calibri"/>
          <w:b/>
          <w:color w:val="000000" w:themeColor="text1"/>
          <w:sz w:val="18"/>
          <w:szCs w:val="18"/>
        </w:rPr>
        <w:t>Results/discussion</w:t>
      </w:r>
    </w:p>
    <w:p w:rsidR="00174F30" w:rsidRPr="00EF02C7" w:rsidRDefault="00174F30" w:rsidP="00174F30">
      <w:pPr>
        <w:spacing w:after="0" w:line="360" w:lineRule="auto"/>
        <w:rPr>
          <w:rFonts w:ascii="Verdana" w:eastAsia="Calibri" w:hAnsi="Verdana" w:cs="Calibri"/>
          <w:color w:val="000000" w:themeColor="text1"/>
          <w:sz w:val="18"/>
          <w:szCs w:val="18"/>
        </w:rPr>
      </w:pPr>
      <w:r w:rsidRPr="00EF02C7">
        <w:rPr>
          <w:rFonts w:ascii="Verdana" w:eastAsia="Calibri" w:hAnsi="Verdana" w:cs="Calibri"/>
          <w:color w:val="000000" w:themeColor="text1"/>
          <w:sz w:val="18"/>
          <w:szCs w:val="18"/>
        </w:rPr>
        <w:t>Numerous studies have demonstrated a relationship between ME and dysfunctional adrenergic and muscarinic receptors</w:t>
      </w:r>
      <w:r>
        <w:rPr>
          <w:rFonts w:ascii="Verdana" w:eastAsia="Calibri" w:hAnsi="Verdana" w:cs="Calibri"/>
          <w:color w:val="000000" w:themeColor="text1"/>
          <w:sz w:val="18"/>
          <w:szCs w:val="18"/>
        </w:rPr>
        <w:t xml:space="preserve"> AABs</w:t>
      </w:r>
      <w:r w:rsidRPr="00EF02C7">
        <w:rPr>
          <w:rFonts w:ascii="Verdana" w:eastAsia="Calibri" w:hAnsi="Verdana" w:cs="Calibri"/>
          <w:color w:val="000000" w:themeColor="text1"/>
          <w:sz w:val="18"/>
          <w:szCs w:val="18"/>
        </w:rPr>
        <w:t xml:space="preserve">; however, they were fallible to a degree due to confounding factors, placebic influences, small sample sizes and the employment of </w:t>
      </w:r>
      <w:r>
        <w:rPr>
          <w:rFonts w:ascii="Verdana" w:eastAsia="Calibri" w:hAnsi="Verdana" w:cs="Calibri"/>
          <w:color w:val="000000" w:themeColor="text1"/>
          <w:sz w:val="18"/>
          <w:szCs w:val="18"/>
        </w:rPr>
        <w:t xml:space="preserve">a </w:t>
      </w:r>
      <w:r w:rsidRPr="00EF02C7">
        <w:rPr>
          <w:rFonts w:ascii="Verdana" w:eastAsia="Calibri" w:hAnsi="Verdana" w:cs="Calibri"/>
          <w:color w:val="000000" w:themeColor="text1"/>
          <w:sz w:val="18"/>
          <w:szCs w:val="18"/>
        </w:rPr>
        <w:t>heterogenic research population. B-cell depletion therapies proved to be effective</w:t>
      </w:r>
      <w:r>
        <w:rPr>
          <w:rFonts w:ascii="Verdana" w:eastAsia="Calibri" w:hAnsi="Verdana" w:cs="Calibri"/>
          <w:color w:val="000000" w:themeColor="text1"/>
          <w:sz w:val="18"/>
          <w:szCs w:val="18"/>
        </w:rPr>
        <w:t xml:space="preserve"> at removing the pathogenic autoantibodies</w:t>
      </w:r>
      <w:r w:rsidRPr="00EF02C7">
        <w:rPr>
          <w:rFonts w:ascii="Verdana" w:eastAsia="Calibri" w:hAnsi="Verdana" w:cs="Calibri"/>
          <w:color w:val="000000" w:themeColor="text1"/>
          <w:sz w:val="18"/>
          <w:szCs w:val="18"/>
        </w:rPr>
        <w:t xml:space="preserve">; however, the recent Rituximab trial produced negative results. Despite the paucity of studies, symptomatic relief was observed following Immunoadsorption. Interestingly, combining B-cell depletion and immunoadsorption could be fruitful as it can remove existing autoantibodies and inhibit re-emergence. Furthermore, aptamers </w:t>
      </w:r>
      <w:r>
        <w:rPr>
          <w:rFonts w:ascii="Verdana" w:eastAsia="Calibri" w:hAnsi="Verdana" w:cs="Calibri"/>
          <w:color w:val="000000" w:themeColor="text1"/>
          <w:sz w:val="18"/>
          <w:szCs w:val="18"/>
        </w:rPr>
        <w:t>may have benefits in ME</w:t>
      </w:r>
      <w:r w:rsidRPr="00EF02C7">
        <w:rPr>
          <w:rFonts w:ascii="Verdana" w:eastAsia="Calibri" w:hAnsi="Verdana" w:cs="Calibri"/>
          <w:color w:val="000000" w:themeColor="text1"/>
          <w:sz w:val="18"/>
          <w:szCs w:val="18"/>
        </w:rPr>
        <w:t>, as data from other disease trials suggests that they can remove harmful autoantibodies and stimulate desensitized GPCRs.</w:t>
      </w:r>
    </w:p>
    <w:p w:rsidR="00174F30" w:rsidRPr="00EF02C7" w:rsidRDefault="00174F30" w:rsidP="00174F30">
      <w:pPr>
        <w:spacing w:after="0" w:line="360" w:lineRule="auto"/>
        <w:rPr>
          <w:rFonts w:ascii="Verdana" w:eastAsia="Calibri" w:hAnsi="Verdana" w:cs="Calibri"/>
          <w:color w:val="000000" w:themeColor="text1"/>
          <w:sz w:val="18"/>
          <w:szCs w:val="18"/>
        </w:rPr>
      </w:pPr>
    </w:p>
    <w:p w:rsidR="00174F30" w:rsidRPr="00EF02C7" w:rsidRDefault="00174F30" w:rsidP="00174F30">
      <w:pPr>
        <w:spacing w:after="0" w:line="360" w:lineRule="auto"/>
        <w:rPr>
          <w:rFonts w:ascii="Verdana" w:eastAsia="Calibri" w:hAnsi="Verdana" w:cs="Calibri"/>
          <w:color w:val="000000" w:themeColor="text1"/>
          <w:sz w:val="18"/>
          <w:szCs w:val="18"/>
        </w:rPr>
      </w:pPr>
      <w:r w:rsidRPr="00EF02C7">
        <w:rPr>
          <w:rFonts w:ascii="Verdana" w:eastAsia="Calibri" w:hAnsi="Verdana" w:cs="Calibri"/>
          <w:b/>
          <w:bCs/>
          <w:color w:val="000000" w:themeColor="text1"/>
          <w:sz w:val="18"/>
          <w:szCs w:val="18"/>
        </w:rPr>
        <w:t>Conclusion</w:t>
      </w:r>
      <w:r w:rsidRPr="00EF02C7">
        <w:rPr>
          <w:rFonts w:ascii="Verdana" w:eastAsia="Calibri" w:hAnsi="Verdana" w:cs="Calibri"/>
          <w:color w:val="000000" w:themeColor="text1"/>
          <w:sz w:val="18"/>
          <w:szCs w:val="18"/>
        </w:rPr>
        <w:t xml:space="preserve"> </w:t>
      </w:r>
    </w:p>
    <w:p w:rsidR="00174F30" w:rsidRPr="0029635D" w:rsidRDefault="00174F30" w:rsidP="00174F30">
      <w:pPr>
        <w:spacing w:after="160" w:line="360" w:lineRule="auto"/>
        <w:rPr>
          <w:rFonts w:ascii="Verdana" w:eastAsia="Calibri" w:hAnsi="Verdana" w:cs="Calibri"/>
          <w:color w:val="000000" w:themeColor="text1"/>
          <w:sz w:val="18"/>
          <w:szCs w:val="18"/>
        </w:rPr>
      </w:pPr>
      <w:r w:rsidRPr="00EF02C7">
        <w:rPr>
          <w:rFonts w:ascii="Verdana" w:eastAsia="Calibri" w:hAnsi="Verdana" w:cs="Calibri"/>
          <w:color w:val="000000" w:themeColor="text1"/>
          <w:sz w:val="18"/>
          <w:szCs w:val="18"/>
        </w:rPr>
        <w:t xml:space="preserve">A relationship between </w:t>
      </w:r>
      <w:r>
        <w:rPr>
          <w:rFonts w:ascii="Verdana" w:eastAsia="Calibri" w:hAnsi="Verdana" w:cs="Calibri"/>
          <w:color w:val="000000" w:themeColor="text1"/>
          <w:sz w:val="18"/>
          <w:szCs w:val="18"/>
        </w:rPr>
        <w:t xml:space="preserve">ME and </w:t>
      </w:r>
      <w:r w:rsidRPr="00EF02C7">
        <w:rPr>
          <w:rFonts w:ascii="Verdana" w:eastAsia="Calibri" w:hAnsi="Verdana" w:cs="Calibri"/>
          <w:color w:val="000000" w:themeColor="text1"/>
          <w:sz w:val="18"/>
          <w:szCs w:val="18"/>
        </w:rPr>
        <w:t>autoantibody</w:t>
      </w:r>
      <w:r>
        <w:rPr>
          <w:rFonts w:ascii="Verdana" w:eastAsia="Calibri" w:hAnsi="Verdana" w:cs="Calibri"/>
          <w:color w:val="000000" w:themeColor="text1"/>
          <w:sz w:val="18"/>
          <w:szCs w:val="18"/>
        </w:rPr>
        <w:t>-</w:t>
      </w:r>
      <w:r w:rsidRPr="00EF02C7">
        <w:rPr>
          <w:rFonts w:ascii="Verdana" w:eastAsia="Calibri" w:hAnsi="Verdana" w:cs="Calibri"/>
          <w:color w:val="000000" w:themeColor="text1"/>
          <w:sz w:val="18"/>
          <w:szCs w:val="18"/>
        </w:rPr>
        <w:t xml:space="preserve">mediated GPCR dysfunction </w:t>
      </w:r>
      <w:r>
        <w:rPr>
          <w:rFonts w:ascii="Verdana" w:eastAsia="Calibri" w:hAnsi="Verdana" w:cs="Calibri"/>
          <w:color w:val="000000" w:themeColor="text1"/>
          <w:sz w:val="18"/>
          <w:szCs w:val="18"/>
        </w:rPr>
        <w:t xml:space="preserve">is </w:t>
      </w:r>
      <w:r w:rsidRPr="00EF02C7">
        <w:rPr>
          <w:rFonts w:ascii="Verdana" w:eastAsia="Calibri" w:hAnsi="Verdana" w:cs="Calibri"/>
          <w:color w:val="000000" w:themeColor="text1"/>
          <w:sz w:val="18"/>
          <w:szCs w:val="18"/>
        </w:rPr>
        <w:t>evident. The trials for B-cell depletion therapies and immunoadsorption should be repeated with revised methodologies to improve the robustness of the conclusions. Aptamers and combination therapy have potential, but a proof-of-concept study should be conducted to investigate their suitability.</w:t>
      </w:r>
      <w:r>
        <w:rPr>
          <w:rFonts w:ascii="Verdana" w:eastAsia="Calibri" w:hAnsi="Verdana" w:cs="Calibri"/>
          <w:color w:val="000000" w:themeColor="text1"/>
          <w:sz w:val="18"/>
          <w:szCs w:val="18"/>
        </w:rPr>
        <w:t xml:space="preserve">     </w:t>
      </w:r>
      <w:r w:rsidRPr="0029635D">
        <w:rPr>
          <w:rFonts w:ascii="Verdana" w:eastAsia="Calibri" w:hAnsi="Verdana" w:cs="Calibri"/>
          <w:b/>
          <w:bCs/>
          <w:color w:val="000000" w:themeColor="text1"/>
          <w:sz w:val="18"/>
          <w:szCs w:val="18"/>
        </w:rPr>
        <w:t>Word count = 29</w:t>
      </w:r>
      <w:r>
        <w:rPr>
          <w:rFonts w:ascii="Verdana" w:eastAsia="Calibri" w:hAnsi="Verdana" w:cs="Calibri"/>
          <w:b/>
          <w:bCs/>
          <w:color w:val="000000" w:themeColor="text1"/>
          <w:sz w:val="18"/>
          <w:szCs w:val="18"/>
        </w:rPr>
        <w:t>7</w:t>
      </w:r>
    </w:p>
    <w:p w:rsidR="00B147D9" w:rsidRDefault="00174F30"/>
    <w:sectPr w:rsidR="00B147D9" w:rsidSect="0002294E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F30"/>
    <w:rsid w:val="0002294E"/>
    <w:rsid w:val="00053B94"/>
    <w:rsid w:val="000B4F99"/>
    <w:rsid w:val="000D46E9"/>
    <w:rsid w:val="00174F30"/>
    <w:rsid w:val="0018649F"/>
    <w:rsid w:val="00200DA9"/>
    <w:rsid w:val="00241F92"/>
    <w:rsid w:val="00264371"/>
    <w:rsid w:val="00290453"/>
    <w:rsid w:val="00346567"/>
    <w:rsid w:val="00435C9C"/>
    <w:rsid w:val="004D0908"/>
    <w:rsid w:val="004F2C6A"/>
    <w:rsid w:val="00526899"/>
    <w:rsid w:val="00540947"/>
    <w:rsid w:val="006F04B7"/>
    <w:rsid w:val="007632A7"/>
    <w:rsid w:val="00763344"/>
    <w:rsid w:val="0079410E"/>
    <w:rsid w:val="00866695"/>
    <w:rsid w:val="00940283"/>
    <w:rsid w:val="00990284"/>
    <w:rsid w:val="00A10515"/>
    <w:rsid w:val="00A133D7"/>
    <w:rsid w:val="00A81286"/>
    <w:rsid w:val="00A84648"/>
    <w:rsid w:val="00AC4673"/>
    <w:rsid w:val="00AD34B1"/>
    <w:rsid w:val="00AD7661"/>
    <w:rsid w:val="00B02106"/>
    <w:rsid w:val="00B14A41"/>
    <w:rsid w:val="00B778F8"/>
    <w:rsid w:val="00B86716"/>
    <w:rsid w:val="00CB722A"/>
    <w:rsid w:val="00CF52A8"/>
    <w:rsid w:val="00D000E6"/>
    <w:rsid w:val="00D03A0D"/>
    <w:rsid w:val="00E16117"/>
    <w:rsid w:val="00E45AAA"/>
    <w:rsid w:val="00E97457"/>
    <w:rsid w:val="00F666CF"/>
    <w:rsid w:val="00FE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ADCCE5"/>
  <w14:defaultImageDpi w14:val="32767"/>
  <w15:chartTrackingRefBased/>
  <w15:docId w15:val="{FBAD5A08-74F0-6646-B02F-3C2CB5700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74F30"/>
    <w:pPr>
      <w:spacing w:after="200" w:line="276" w:lineRule="auto"/>
    </w:pPr>
    <w:rPr>
      <w:rFonts w:eastAsiaTheme="minorEastAsia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4F99"/>
    <w:pPr>
      <w:spacing w:after="0" w:line="240" w:lineRule="auto"/>
    </w:pPr>
    <w:rPr>
      <w:rFonts w:ascii="Times New Roman" w:eastAsiaTheme="minorHAnsi" w:hAnsi="Times New Roman" w:cs="Times New Roman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F99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375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 George</dc:creator>
  <cp:keywords/>
  <dc:description/>
  <cp:lastModifiedBy>Anu George</cp:lastModifiedBy>
  <cp:revision>1</cp:revision>
  <dcterms:created xsi:type="dcterms:W3CDTF">2022-07-12T11:06:00Z</dcterms:created>
  <dcterms:modified xsi:type="dcterms:W3CDTF">2022-07-12T11:08:00Z</dcterms:modified>
</cp:coreProperties>
</file>