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39C" w:rsidRPr="006B739C" w:rsidRDefault="006B739C" w:rsidP="006B739C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6B739C">
        <w:rPr>
          <w:rFonts w:asciiTheme="majorBidi" w:hAnsiTheme="majorBidi" w:cstheme="majorBidi"/>
          <w:b/>
          <w:bCs/>
          <w:sz w:val="24"/>
          <w:szCs w:val="24"/>
        </w:rPr>
        <w:t>Juvenile idiopathic arthritis in Sudanese children: Clinical characteristics and subtypes</w:t>
      </w:r>
    </w:p>
    <w:p w:rsidR="006B739C" w:rsidRPr="006B739C" w:rsidRDefault="006B739C" w:rsidP="006B739C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6B739C">
        <w:rPr>
          <w:rFonts w:asciiTheme="majorBidi" w:hAnsiTheme="majorBidi" w:cstheme="majorBidi"/>
          <w:b/>
          <w:bCs/>
          <w:sz w:val="24"/>
          <w:szCs w:val="24"/>
        </w:rPr>
        <w:t>Abstract:</w:t>
      </w:r>
      <w:r w:rsidR="00FF1A2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bookmarkStart w:id="0" w:name="_GoBack"/>
      <w:bookmarkEnd w:id="0"/>
    </w:p>
    <w:p w:rsidR="00FA5F9A" w:rsidRPr="005B46F2" w:rsidRDefault="00FA5F9A" w:rsidP="00C135E8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5B46F2">
        <w:rPr>
          <w:rFonts w:asciiTheme="majorBidi" w:eastAsia="ArialUnicodeMS" w:hAnsiTheme="majorBidi" w:cstheme="majorBidi"/>
          <w:i/>
          <w:iCs/>
          <w:sz w:val="24"/>
          <w:szCs w:val="24"/>
        </w:rPr>
        <w:t>Aim of the work</w:t>
      </w:r>
      <w:r w:rsidRPr="005B46F2">
        <w:rPr>
          <w:rFonts w:asciiTheme="majorBidi" w:eastAsia="ArialUnicodeMS" w:hAnsiTheme="majorBidi" w:cstheme="majorBidi"/>
          <w:sz w:val="24"/>
          <w:szCs w:val="24"/>
        </w:rPr>
        <w:t xml:space="preserve">: To evaluate the demographic, clinical presentation, and laboratory findings of the juvenile idiopathic arthritis subtypes in Sudanese patients attending the Pediatric Rheumatology Clinic. </w:t>
      </w:r>
      <w:r w:rsidRPr="005B46F2">
        <w:rPr>
          <w:rFonts w:asciiTheme="majorBidi" w:eastAsia="ArialUnicodeMS" w:hAnsiTheme="majorBidi" w:cstheme="majorBidi"/>
          <w:i/>
          <w:iCs/>
          <w:sz w:val="24"/>
          <w:szCs w:val="24"/>
        </w:rPr>
        <w:t>Patients and methods</w:t>
      </w:r>
      <w:r w:rsidRPr="005B46F2">
        <w:rPr>
          <w:rFonts w:asciiTheme="majorBidi" w:eastAsia="ArialUnicodeMS" w:hAnsiTheme="majorBidi" w:cstheme="majorBidi"/>
          <w:sz w:val="24"/>
          <w:szCs w:val="24"/>
        </w:rPr>
        <w:t>: This single-center</w:t>
      </w:r>
      <w:r w:rsidR="00C135E8">
        <w:rPr>
          <w:rFonts w:asciiTheme="majorBidi" w:eastAsia="ArialUnicodeMS" w:hAnsiTheme="majorBidi" w:cstheme="majorBidi"/>
          <w:sz w:val="24"/>
          <w:szCs w:val="24"/>
        </w:rPr>
        <w:t xml:space="preserve"> </w:t>
      </w:r>
      <w:r w:rsidRPr="005B46F2">
        <w:rPr>
          <w:rFonts w:asciiTheme="majorBidi" w:eastAsia="ArialUnicodeMS" w:hAnsiTheme="majorBidi" w:cstheme="majorBidi"/>
          <w:sz w:val="24"/>
          <w:szCs w:val="24"/>
        </w:rPr>
        <w:t xml:space="preserve">study was conducted at the Rheumatology Clinic of Ahmed Gasim Hospital, Khartoum North. </w:t>
      </w:r>
      <w:r w:rsidRPr="005B46F2">
        <w:rPr>
          <w:rFonts w:asciiTheme="majorBidi" w:hAnsiTheme="majorBidi" w:cstheme="majorBidi"/>
          <w:sz w:val="24"/>
          <w:szCs w:val="24"/>
        </w:rPr>
        <w:t>A specially designed data collection form was used. Full medical history and physical examination of patients was done. The initial investigation was collected from the patient’s records.</w:t>
      </w:r>
      <w:r w:rsidRPr="005B46F2">
        <w:rPr>
          <w:rFonts w:asciiTheme="majorBidi" w:eastAsia="ArialUnicodeMS" w:hAnsiTheme="majorBidi" w:cstheme="majorBidi"/>
          <w:sz w:val="24"/>
          <w:szCs w:val="24"/>
        </w:rPr>
        <w:t xml:space="preserve"> </w:t>
      </w:r>
      <w:r w:rsidRPr="005B46F2">
        <w:rPr>
          <w:rFonts w:asciiTheme="majorBidi" w:eastAsia="ArialUnicodeMS" w:hAnsiTheme="majorBidi" w:cstheme="majorBidi"/>
          <w:i/>
          <w:iCs/>
          <w:sz w:val="24"/>
          <w:szCs w:val="24"/>
        </w:rPr>
        <w:t>Results</w:t>
      </w:r>
      <w:r w:rsidRPr="005B46F2">
        <w:rPr>
          <w:rFonts w:asciiTheme="majorBidi" w:eastAsia="ArialUnicodeMS" w:hAnsiTheme="majorBidi" w:cstheme="majorBidi"/>
          <w:sz w:val="24"/>
          <w:szCs w:val="24"/>
        </w:rPr>
        <w:t xml:space="preserve">: </w:t>
      </w:r>
      <w:r w:rsidRPr="005B46F2">
        <w:rPr>
          <w:rFonts w:asciiTheme="majorBidi" w:hAnsiTheme="majorBidi" w:cstheme="majorBidi"/>
          <w:sz w:val="24"/>
          <w:szCs w:val="24"/>
        </w:rPr>
        <w:t xml:space="preserve">Eighty-one patients were enrolled in the study. </w:t>
      </w:r>
      <w:r>
        <w:rPr>
          <w:rFonts w:asciiTheme="majorBidi" w:hAnsiTheme="majorBidi" w:cstheme="majorBidi"/>
          <w:sz w:val="24"/>
          <w:szCs w:val="24"/>
        </w:rPr>
        <w:t>F</w:t>
      </w:r>
      <w:r w:rsidRPr="0090040C">
        <w:rPr>
          <w:rFonts w:asciiTheme="majorBidi" w:hAnsiTheme="majorBidi" w:cstheme="majorBidi"/>
          <w:sz w:val="24"/>
          <w:szCs w:val="24"/>
        </w:rPr>
        <w:t>emales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B46F2">
        <w:rPr>
          <w:rFonts w:asciiTheme="majorBidi" w:hAnsiTheme="majorBidi" w:cstheme="majorBidi"/>
          <w:sz w:val="24"/>
          <w:szCs w:val="24"/>
        </w:rPr>
        <w:t>were 54 and 27 males (F: M was 2:1). The mean age of the patients was 10.8 ± 3.6 years, 58% were above 10 years; disease duration 5.8±2.4   years and age at onset 9.0 ± 3.8   years</w:t>
      </w:r>
      <w:r>
        <w:rPr>
          <w:rFonts w:asciiTheme="majorBidi" w:hAnsiTheme="majorBidi" w:cstheme="majorBidi"/>
          <w:sz w:val="24"/>
          <w:szCs w:val="24"/>
        </w:rPr>
        <w:t>,</w:t>
      </w:r>
      <w:r w:rsidRPr="005B46F2">
        <w:rPr>
          <w:rFonts w:asciiTheme="majorBidi" w:hAnsiTheme="majorBidi" w:cstheme="majorBidi"/>
          <w:sz w:val="24"/>
          <w:szCs w:val="24"/>
        </w:rPr>
        <w:t xml:space="preserve"> the commonest age at onset 5-10 years. </w:t>
      </w:r>
      <w:r w:rsidRPr="005B46F2">
        <w:rPr>
          <w:rFonts w:asciiTheme="majorBidi" w:eastAsia="ArialUnicodeMS" w:hAnsiTheme="majorBidi" w:cstheme="majorBidi"/>
          <w:sz w:val="24"/>
          <w:szCs w:val="24"/>
        </w:rPr>
        <w:t>Half of the patients were from rural areas. There was a positive family history in 7.4%. Morning stiffness was the commonest presenting symptom (98.8%)</w:t>
      </w:r>
      <w:r>
        <w:rPr>
          <w:rFonts w:asciiTheme="majorBidi" w:eastAsia="ArialUnicodeMS" w:hAnsiTheme="majorBidi" w:cstheme="majorBidi"/>
          <w:sz w:val="24"/>
          <w:szCs w:val="24"/>
        </w:rPr>
        <w:t>,</w:t>
      </w:r>
      <w:r w:rsidRPr="005B46F2">
        <w:rPr>
          <w:rFonts w:asciiTheme="majorBidi" w:eastAsia="ArialUnicodeMS" w:hAnsiTheme="majorBidi" w:cstheme="majorBidi"/>
          <w:sz w:val="24"/>
          <w:szCs w:val="24"/>
        </w:rPr>
        <w:t xml:space="preserve"> uveitis present in 8.6%. The knee joint was the most affected joint (82.7%). </w:t>
      </w:r>
      <w:r w:rsidRPr="005B46F2">
        <w:rPr>
          <w:rFonts w:asciiTheme="majorBidi" w:hAnsiTheme="majorBidi" w:cstheme="majorBidi"/>
          <w:sz w:val="24"/>
          <w:szCs w:val="24"/>
        </w:rPr>
        <w:t>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B46F2">
        <w:rPr>
          <w:rFonts w:asciiTheme="majorBidi" w:hAnsiTheme="majorBidi" w:cstheme="majorBidi"/>
          <w:sz w:val="24"/>
          <w:szCs w:val="24"/>
        </w:rPr>
        <w:t xml:space="preserve">Polyarticular </w:t>
      </w:r>
      <w:r>
        <w:rPr>
          <w:rFonts w:asciiTheme="majorBidi" w:hAnsiTheme="majorBidi" w:cstheme="majorBidi"/>
          <w:sz w:val="24"/>
          <w:szCs w:val="24"/>
        </w:rPr>
        <w:t>found in</w:t>
      </w:r>
      <w:r w:rsidRPr="005B46F2">
        <w:rPr>
          <w:rFonts w:asciiTheme="majorBidi" w:hAnsiTheme="majorBidi" w:cstheme="majorBidi"/>
          <w:sz w:val="24"/>
          <w:szCs w:val="24"/>
        </w:rPr>
        <w:t xml:space="preserve"> 51 (63%), SO in 18 (22.2%), oligo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B46F2">
        <w:rPr>
          <w:rFonts w:asciiTheme="majorBidi" w:hAnsiTheme="majorBidi" w:cstheme="majorBidi"/>
          <w:sz w:val="24"/>
          <w:szCs w:val="24"/>
        </w:rPr>
        <w:t xml:space="preserve">articular in 10 (12.3%) and </w:t>
      </w:r>
      <w:proofErr w:type="spellStart"/>
      <w:r w:rsidRPr="005B46F2">
        <w:rPr>
          <w:rFonts w:asciiTheme="majorBidi" w:hAnsiTheme="majorBidi" w:cstheme="majorBidi"/>
          <w:sz w:val="24"/>
          <w:szCs w:val="24"/>
        </w:rPr>
        <w:t>SpA</w:t>
      </w:r>
      <w:proofErr w:type="spellEnd"/>
      <w:r w:rsidRPr="005B46F2">
        <w:rPr>
          <w:rFonts w:asciiTheme="majorBidi" w:hAnsiTheme="majorBidi" w:cstheme="majorBidi"/>
          <w:sz w:val="24"/>
          <w:szCs w:val="24"/>
        </w:rPr>
        <w:t xml:space="preserve"> in 2 (2.5%). </w:t>
      </w:r>
      <w:r w:rsidRPr="005B46F2">
        <w:rPr>
          <w:rFonts w:asciiTheme="majorBidi" w:eastAsia="ArialUnicodeMS" w:hAnsiTheme="majorBidi" w:cstheme="majorBidi"/>
          <w:sz w:val="24"/>
          <w:szCs w:val="24"/>
        </w:rPr>
        <w:t xml:space="preserve">Seven patients (8.6%) had uveitis. Rheumatoid factor (RF) and antinuclear antibody (ANA) were positive among 30.9% and 46.9% of the </w:t>
      </w:r>
      <w:r>
        <w:rPr>
          <w:rFonts w:asciiTheme="majorBidi" w:eastAsia="ArialUnicodeMS" w:hAnsiTheme="majorBidi" w:cstheme="majorBidi"/>
          <w:sz w:val="24"/>
          <w:szCs w:val="24"/>
        </w:rPr>
        <w:t>participants</w:t>
      </w:r>
      <w:r w:rsidRPr="005B46F2">
        <w:rPr>
          <w:rFonts w:asciiTheme="majorBidi" w:eastAsia="ArialUnicodeMS" w:hAnsiTheme="majorBidi" w:cstheme="majorBidi"/>
          <w:sz w:val="24"/>
          <w:szCs w:val="24"/>
        </w:rPr>
        <w:t xml:space="preserve"> respectively. </w:t>
      </w:r>
      <w:r w:rsidRPr="005B46F2">
        <w:rPr>
          <w:rFonts w:asciiTheme="majorBidi" w:eastAsia="ArialUnicodeMS" w:hAnsiTheme="majorBidi" w:cstheme="majorBidi"/>
          <w:i/>
          <w:iCs/>
          <w:sz w:val="24"/>
          <w:szCs w:val="24"/>
        </w:rPr>
        <w:t>Conclusion</w:t>
      </w:r>
      <w:r w:rsidRPr="005B46F2">
        <w:rPr>
          <w:rFonts w:asciiTheme="majorBidi" w:eastAsia="ArialUnicodeMS" w:hAnsiTheme="majorBidi" w:cstheme="majorBidi"/>
          <w:sz w:val="24"/>
          <w:szCs w:val="24"/>
        </w:rPr>
        <w:t>: Females predominate and half of the patients are from rural areas. Polyarticular</w:t>
      </w:r>
      <w:r>
        <w:rPr>
          <w:rFonts w:asciiTheme="majorBidi" w:eastAsia="ArialUnicodeMS" w:hAnsiTheme="majorBidi" w:cstheme="majorBidi"/>
          <w:sz w:val="24"/>
          <w:szCs w:val="24"/>
        </w:rPr>
        <w:t xml:space="preserve"> </w:t>
      </w:r>
      <w:r w:rsidRPr="005B46F2">
        <w:rPr>
          <w:rFonts w:asciiTheme="majorBidi" w:eastAsia="ArialUnicodeMS" w:hAnsiTheme="majorBidi" w:cstheme="majorBidi"/>
          <w:sz w:val="24"/>
          <w:szCs w:val="24"/>
        </w:rPr>
        <w:t>is the</w:t>
      </w:r>
      <w:r>
        <w:rPr>
          <w:rFonts w:asciiTheme="majorBidi" w:eastAsia="ArialUnicodeMS" w:hAnsiTheme="majorBidi" w:cstheme="majorBidi"/>
          <w:sz w:val="24"/>
          <w:szCs w:val="24"/>
        </w:rPr>
        <w:t xml:space="preserve"> </w:t>
      </w:r>
      <w:r w:rsidRPr="005B46F2">
        <w:rPr>
          <w:rFonts w:asciiTheme="majorBidi" w:eastAsia="ArialUnicodeMS" w:hAnsiTheme="majorBidi" w:cstheme="majorBidi"/>
          <w:sz w:val="24"/>
          <w:szCs w:val="24"/>
        </w:rPr>
        <w:t>common</w:t>
      </w:r>
      <w:r>
        <w:rPr>
          <w:rFonts w:asciiTheme="majorBidi" w:eastAsia="ArialUnicodeMS" w:hAnsiTheme="majorBidi" w:cstheme="majorBidi"/>
          <w:sz w:val="24"/>
          <w:szCs w:val="24"/>
        </w:rPr>
        <w:t>est</w:t>
      </w:r>
      <w:r w:rsidRPr="005B46F2">
        <w:rPr>
          <w:rFonts w:asciiTheme="majorBidi" w:eastAsia="ArialUnicodeMS" w:hAnsiTheme="majorBidi" w:cstheme="majorBidi"/>
          <w:sz w:val="24"/>
          <w:szCs w:val="24"/>
        </w:rPr>
        <w:t xml:space="preserve"> subtype. Morning stiffness is the presenting symptom. The knee joint was the most affected. Positive RF was found in one-third of patients, ANA in about half of them.</w:t>
      </w:r>
    </w:p>
    <w:p w:rsidR="006B739C" w:rsidRPr="006B739C" w:rsidRDefault="006B739C" w:rsidP="006B739C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:rsidR="00481EC0" w:rsidRPr="006B739C" w:rsidRDefault="006B739C" w:rsidP="006B739C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6B739C">
        <w:rPr>
          <w:rFonts w:asciiTheme="majorBidi" w:hAnsiTheme="majorBidi" w:cstheme="majorBidi"/>
          <w:sz w:val="24"/>
          <w:szCs w:val="24"/>
        </w:rPr>
        <w:t>Keywords: Juvenile idiopathic arthritis; clinical presentation; subtypes; morning stiffness; Sudan</w:t>
      </w:r>
    </w:p>
    <w:sectPr w:rsidR="00481EC0" w:rsidRPr="006B7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UnicodeMS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1F6"/>
    <w:rsid w:val="00481EC0"/>
    <w:rsid w:val="006B739C"/>
    <w:rsid w:val="007D61F6"/>
    <w:rsid w:val="00C135E8"/>
    <w:rsid w:val="00F23363"/>
    <w:rsid w:val="00FA5F9A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936E75-0964-4715-88AD-FC6D7887C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265</Words>
  <Characters>1517</Characters>
  <Application>Microsoft Office Word</Application>
  <DocSecurity>0</DocSecurity>
  <Lines>12</Lines>
  <Paragraphs>3</Paragraphs>
  <ScaleCrop>false</ScaleCrop>
  <Company>Microsoft</Company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Hashim</dc:creator>
  <cp:keywords/>
  <dc:description/>
  <cp:lastModifiedBy>khalid Hashim</cp:lastModifiedBy>
  <cp:revision>6</cp:revision>
  <dcterms:created xsi:type="dcterms:W3CDTF">2021-09-30T12:07:00Z</dcterms:created>
  <dcterms:modified xsi:type="dcterms:W3CDTF">2021-11-19T08:22:00Z</dcterms:modified>
</cp:coreProperties>
</file>