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DAE8D1" w14:textId="5321812F" w:rsidR="00A46B7B" w:rsidRPr="009C0DAD" w:rsidRDefault="00A46B7B" w:rsidP="004B7471">
      <w:pPr>
        <w:rPr>
          <w:rStyle w:val="Strong"/>
        </w:rPr>
      </w:pPr>
      <w:r w:rsidRPr="009C0DAD">
        <w:rPr>
          <w:rStyle w:val="Strong"/>
        </w:rPr>
        <w:t xml:space="preserve">Real life experience of Belimumab therapy in Lupus Nephritis: A Case Report </w:t>
      </w:r>
    </w:p>
    <w:p w14:paraId="4765D22C" w14:textId="2CDF9520" w:rsidR="004763FB" w:rsidRDefault="004763FB" w:rsidP="004B7471">
      <w:pPr>
        <w:rPr>
          <w:vertAlign w:val="superscript"/>
        </w:rPr>
      </w:pPr>
      <w:r>
        <w:t xml:space="preserve">Co- authors: </w:t>
      </w:r>
      <w:r w:rsidRPr="00C8538F">
        <w:t>S Elamin</w:t>
      </w:r>
      <w:r w:rsidR="00C8538F" w:rsidRPr="00C8538F">
        <w:rPr>
          <w:vertAlign w:val="superscript"/>
        </w:rPr>
        <w:t>1</w:t>
      </w:r>
      <w:r w:rsidRPr="00C8538F">
        <w:t>, S Black</w:t>
      </w:r>
      <w:r w:rsidR="00C8538F" w:rsidRPr="00C8538F">
        <w:rPr>
          <w:vertAlign w:val="superscript"/>
        </w:rPr>
        <w:t>1</w:t>
      </w:r>
      <w:r w:rsidRPr="00C8538F">
        <w:t>, G Wright</w:t>
      </w:r>
      <w:r w:rsidR="00C8538F" w:rsidRPr="00C8538F">
        <w:rPr>
          <w:vertAlign w:val="superscript"/>
        </w:rPr>
        <w:t>1</w:t>
      </w:r>
    </w:p>
    <w:p w14:paraId="1868BA2E" w14:textId="69D425DE" w:rsidR="00C8538F" w:rsidRPr="00C8538F" w:rsidRDefault="00C8538F" w:rsidP="004B7471">
      <w:pPr>
        <w:rPr>
          <w:i/>
          <w:iCs/>
        </w:rPr>
      </w:pPr>
      <w:r w:rsidRPr="00C8538F">
        <w:rPr>
          <w:i/>
          <w:iCs/>
        </w:rPr>
        <w:t xml:space="preserve">Affiliations: Department of Rheumatology, Musgrave Park Hospital, Belfast, Northern Ireland </w:t>
      </w:r>
    </w:p>
    <w:p w14:paraId="5807ABCC" w14:textId="3E57D1DC" w:rsidR="004B7471" w:rsidRDefault="004B7471" w:rsidP="004B7471">
      <w:r>
        <w:t>Systemic lupus erythematosus</w:t>
      </w:r>
      <w:r w:rsidR="00F829AB">
        <w:t xml:space="preserve"> (SLE)</w:t>
      </w:r>
      <w:r>
        <w:t xml:space="preserve"> is a </w:t>
      </w:r>
      <w:r w:rsidR="009B49D6">
        <w:t xml:space="preserve">complex </w:t>
      </w:r>
      <w:r>
        <w:t xml:space="preserve">autoimmune disorder that is challenging to diagnose and manage </w:t>
      </w:r>
      <w:r>
        <w:fldChar w:fldCharType="begin" w:fldLock="1"/>
      </w:r>
      <w:r w:rsidR="009C0DAD">
        <w:instrText>ADDIN CSL_CITATION {"citationItems":[{"id":"ITEM-1","itemData":{"DOI":"10.1016/S0140-6736(14)60128-8","ISSN":"1474547X","PMID":"24881804","abstract":"Systemic lupus erythematosus is a remarkable and challenging disorder. Its diversity of clinical features is matched by the complexity of the factors (genetic, hormonal, and environmental) that cause it, and the array of autoantibodies with which it is associated. In this Seminar we reflect on changes in its classification criteria; consider aspects of its more serious clinical expression; and provide a brief review of its aetiopathogenesis, major complications, coping strategies, and conventional treatment. Increased understanding of the cells and molecules involved in the development of the diseases has encouraged the identification of new, better targeted biological approaches to its treatment. The precise role of these newer therapies remains to be established.","author":[{"dropping-particle":"","family":"Lisnevskaia","given":"Larissa","non-dropping-particle":"","parse-names":false,"suffix":""},{"dropping-particle":"","family":"Murphy","given":"Grainne","non-dropping-particle":"","parse-names":false,"suffix":""},{"dropping-particle":"","family":"Isenberg","given":"David","non-dropping-particle":"","parse-names":false,"suffix":""}],"container-title":"The Lancet","id":"ITEM-1","issued":{"date-parts":[["2014"]]},"title":"Systemic lupus erythematosus","type":"paper-conference"},"uris":["http://www.mendeley.com/documents/?uuid=0b9e2a9d-f4ba-4350-98a8-18e7ece94dae"]}],"mendeley":{"formattedCitation":"(1)","plainTextFormattedCitation":"(1)","previouslyFormattedCitation":"&lt;sup&gt;1&lt;/sup&gt;"},"properties":{"noteIndex":0},"schema":"https://github.com/citation-style-language/schema/raw/master/csl-citation.json"}</w:instrText>
      </w:r>
      <w:r>
        <w:fldChar w:fldCharType="separate"/>
      </w:r>
      <w:r w:rsidR="009C0DAD" w:rsidRPr="009C0DAD">
        <w:rPr>
          <w:noProof/>
        </w:rPr>
        <w:t>(1)</w:t>
      </w:r>
      <w:r>
        <w:fldChar w:fldCharType="end"/>
      </w:r>
      <w:r>
        <w:t xml:space="preserve">. </w:t>
      </w:r>
      <w:r>
        <w:t>This inflammatory condition can affect multiple</w:t>
      </w:r>
      <w:r>
        <w:t xml:space="preserve"> organ</w:t>
      </w:r>
      <w:r>
        <w:t>s</w:t>
      </w:r>
      <w:r>
        <w:t xml:space="preserve"> </w:t>
      </w:r>
      <w:r w:rsidR="009B49D6">
        <w:t xml:space="preserve">with </w:t>
      </w:r>
      <w:r w:rsidR="007F2727">
        <w:t>potential for</w:t>
      </w:r>
      <w:r w:rsidR="007F2727">
        <w:t xml:space="preserve"> significant morbidity and mortality. </w:t>
      </w:r>
      <w:r w:rsidR="009B49D6">
        <w:t>The hallmark feature of the disease process is the formation</w:t>
      </w:r>
      <w:r>
        <w:t xml:space="preserve"> of antinuclear autoantibodies</w:t>
      </w:r>
      <w:r w:rsidR="009B49D6">
        <w:t xml:space="preserve">, </w:t>
      </w:r>
      <w:r w:rsidR="007F2727">
        <w:t xml:space="preserve">and deposition of </w:t>
      </w:r>
      <w:r>
        <w:t>i</w:t>
      </w:r>
      <w:r w:rsidRPr="007D45AE">
        <w:t>mmune complexes into tissues</w:t>
      </w:r>
      <w:r>
        <w:t xml:space="preserve">, </w:t>
      </w:r>
      <w:r w:rsidRPr="007D45AE">
        <w:t>contribut</w:t>
      </w:r>
      <w:r>
        <w:t>ing</w:t>
      </w:r>
      <w:r w:rsidRPr="007D45AE">
        <w:t xml:space="preserve"> to organ inflammation and damage </w:t>
      </w:r>
      <w:r w:rsidRPr="007D45AE">
        <w:fldChar w:fldCharType="begin" w:fldLock="1"/>
      </w:r>
      <w:r w:rsidR="009C0DAD">
        <w:instrText>ADDIN CSL_CITATION {"citationItems":[{"id":"ITEM-1","itemData":{"DOI":"10.1016/S0140-6736(19)30237-5","ISSN":"1474547X","abstract":"Systemic lupus erythematosus (SLE) is an autoimmune disease characterised by the loss of self-tolerance and formation of nuclear autoantigens and immune complexes resulting in inflammation of multiple organs. The clinical presentation of SLE is heterogeneous, can involve one or more organs, including the skin, kidneys, joints, and nervous system, and take a chronic or relapsing and remitting disease course. SLE is most common in women and in those of non-white ethnicity. Because of the multitude of presentations, manifestations, and serological abnormalities in patients with SLE, diagnosis can be challenging. Therapeutic approaches predominantly involve immunomodulation and immunosuppression and are targeted to the specific organ manifestation, with the aim of achieving low disease activity. Despite many treatment advances and improved diagnostics, SLE continues to cause substantial morbidity and premature mortality. Current management strategies, although helpful, are limited by high failure rates and toxicity. An overreliance on corticosteroid therapy contributes to much of the long-term organ damage. In this Seminar, we outline the classification criteria for SLE, current treatment strategies and medications, the evidence supporting their use, and explore potential future therapies.","author":[{"dropping-particle":"","family":"Durcan","given":"Laura","non-dropping-particle":"","parse-names":false,"suffix":""},{"dropping-particle":"","family":"O'Dwyer","given":"Tom","non-dropping-particle":"","parse-names":false,"suffix":""},{"dropping-particle":"","family":"Petri","given":"Michelle","non-dropping-particle":"","parse-names":false,"suffix":""}],"container-title":"The Lancet","id":"ITEM-1","issued":{"date-parts":[["2019"]]},"title":"Management strategies and future directions for systemic lupus erythematosus in adults","type":"article"},"uris":["http://www.mendeley.com/documents/?uuid=5be012cc-7489-43ed-bfd3-3aa71ac15186"]}],"mendeley":{"formattedCitation":"(2)","plainTextFormattedCitation":"(2)","previouslyFormattedCitation":"&lt;sup&gt;2&lt;/sup&gt;"},"properties":{"noteIndex":0},"schema":"https://github.com/citation-style-language/schema/raw/master/csl-citation.json"}</w:instrText>
      </w:r>
      <w:r w:rsidRPr="007D45AE">
        <w:fldChar w:fldCharType="separate"/>
      </w:r>
      <w:r w:rsidR="009C0DAD" w:rsidRPr="009C0DAD">
        <w:rPr>
          <w:noProof/>
        </w:rPr>
        <w:t>(2)</w:t>
      </w:r>
      <w:r w:rsidRPr="007D45AE">
        <w:fldChar w:fldCharType="end"/>
      </w:r>
      <w:r w:rsidRPr="007D45AE">
        <w:t xml:space="preserve">.  </w:t>
      </w:r>
      <w:r w:rsidR="007F2727">
        <w:t>Cytokines also</w:t>
      </w:r>
      <w:r>
        <w:t xml:space="preserve"> play a</w:t>
      </w:r>
      <w:r w:rsidR="00CD3262">
        <w:t>n</w:t>
      </w:r>
      <w:r>
        <w:t xml:space="preserve"> important role</w:t>
      </w:r>
      <w:r w:rsidR="007F2727">
        <w:t xml:space="preserve">, with </w:t>
      </w:r>
      <w:r w:rsidRPr="007D45AE">
        <w:t>B-lymphocyte stimulator (</w:t>
      </w:r>
      <w:proofErr w:type="spellStart"/>
      <w:r w:rsidRPr="007D45AE">
        <w:t>BLys</w:t>
      </w:r>
      <w:proofErr w:type="spellEnd"/>
      <w:r w:rsidRPr="007D45AE">
        <w:t>)</w:t>
      </w:r>
      <w:r w:rsidR="00CD3262">
        <w:t xml:space="preserve">, </w:t>
      </w:r>
      <w:r w:rsidR="00CD3262">
        <w:rPr>
          <w:rFonts w:cstheme="minorHAnsi"/>
          <w:color w:val="1F1B1B"/>
        </w:rPr>
        <w:t>essent</w:t>
      </w:r>
      <w:r w:rsidR="00CD3262">
        <w:rPr>
          <w:rFonts w:cstheme="minorHAnsi"/>
          <w:color w:val="1F1B1B"/>
        </w:rPr>
        <w:t xml:space="preserve">ial </w:t>
      </w:r>
      <w:r w:rsidR="00CD3262">
        <w:rPr>
          <w:rFonts w:cstheme="minorHAnsi"/>
          <w:color w:val="1F1B1B"/>
        </w:rPr>
        <w:t>for B cell survival</w:t>
      </w:r>
      <w:r w:rsidR="00CD3262">
        <w:rPr>
          <w:rFonts w:cstheme="minorHAnsi"/>
          <w:color w:val="1F1B1B"/>
        </w:rPr>
        <w:t>,</w:t>
      </w:r>
      <w:r w:rsidR="00CD3262">
        <w:t xml:space="preserve"> generating a lot of interest in recent times.</w:t>
      </w:r>
      <w:r w:rsidRPr="007D45AE">
        <w:t xml:space="preserve"> </w:t>
      </w:r>
      <w:r w:rsidRPr="007D45AE">
        <w:fldChar w:fldCharType="begin" w:fldLock="1"/>
      </w:r>
      <w:r w:rsidR="009C0DAD">
        <w:instrText>ADDIN CSL_CITATION {"citationItems":[{"id":"ITEM-1","itemData":{"DOI":"10.1186/ar3349","ISSN":"14786354","abstract":"The pathogenesis of systemic lupus erythematosus (SLE) is complex, and the resulting disease manifestations are heterogeneous. Cytokine dysregulation is pervasive, and their protein and gene expression profiles may serve as markers of disease activity and severity. Importantly, biologic agents that target specific cytokines may represent novel therapies for SLE. Four cytokines (IL-6, TNFα, IFNα, and BLyS) are being evaluated as therapeutic targets in SLE. The present review will examine the roles of each of these cytokines in murine and human SLE, and will summarize results from clinical trials of agents that target these cytokines. © 2011 BioMed Central Ltd.","author":[{"dropping-particle":"","family":"Jacob","given":"Noam","non-dropping-particle":"","parse-names":false,"suffix":""},{"dropping-particle":"","family":"Stohl","given":"William","non-dropping-particle":"","parse-names":false,"suffix":""}],"container-title":"Arthritis Research and Therapy","id":"ITEM-1","issued":{"date-parts":[["2011"]]},"title":"Cytokine disturbances in systemic lupus erythematosus","type":"article"},"uris":["http://www.mendeley.com/documents/?uuid=85348acc-08b8-4b8c-b8ea-26f992111737"]}],"mendeley":{"formattedCitation":"(3)","plainTextFormattedCitation":"(3)","previouslyFormattedCitation":"&lt;sup&gt;4&lt;/sup&gt;"},"properties":{"noteIndex":0},"schema":"https://github.com/citation-style-language/schema/raw/master/csl-citation.json"}</w:instrText>
      </w:r>
      <w:r w:rsidRPr="007D45AE">
        <w:fldChar w:fldCharType="separate"/>
      </w:r>
      <w:r w:rsidR="009C0DAD" w:rsidRPr="009C0DAD">
        <w:rPr>
          <w:noProof/>
        </w:rPr>
        <w:t>(3)</w:t>
      </w:r>
      <w:r w:rsidRPr="007D45AE">
        <w:fldChar w:fldCharType="end"/>
      </w:r>
      <w:r w:rsidRPr="007D45AE">
        <w:t>.</w:t>
      </w:r>
      <w:r>
        <w:rPr>
          <w:i/>
          <w:iCs/>
        </w:rPr>
        <w:t xml:space="preserve"> </w:t>
      </w:r>
    </w:p>
    <w:p w14:paraId="5B248C75" w14:textId="68023F01" w:rsidR="004B7471" w:rsidRDefault="004B7471" w:rsidP="00863F45">
      <w:pPr>
        <w:autoSpaceDE w:val="0"/>
        <w:autoSpaceDN w:val="0"/>
        <w:adjustRightInd w:val="0"/>
        <w:spacing w:after="0" w:line="240" w:lineRule="auto"/>
        <w:rPr>
          <w:rFonts w:eastAsia="Times New Roman" w:cstheme="minorHAnsi"/>
          <w:lang w:eastAsia="en-GB"/>
        </w:rPr>
      </w:pPr>
      <w:r w:rsidRPr="008C141A">
        <w:rPr>
          <w:rFonts w:cstheme="minorHAnsi"/>
          <w:color w:val="1F1B1B"/>
        </w:rPr>
        <w:t>Belimumab (Benlysta®)</w:t>
      </w:r>
      <w:r>
        <w:rPr>
          <w:rFonts w:cstheme="minorHAnsi"/>
          <w:color w:val="1F1B1B"/>
        </w:rPr>
        <w:t xml:space="preserve"> is</w:t>
      </w:r>
      <w:r w:rsidRPr="008C141A">
        <w:rPr>
          <w:rFonts w:cstheme="minorHAnsi"/>
          <w:color w:val="1F1B1B"/>
        </w:rPr>
        <w:t xml:space="preserve"> a monoclonal antibody that is directed against </w:t>
      </w:r>
      <w:proofErr w:type="spellStart"/>
      <w:r w:rsidRPr="008C141A">
        <w:rPr>
          <w:rFonts w:cstheme="minorHAnsi"/>
          <w:color w:val="1F1B1B"/>
        </w:rPr>
        <w:t>BLyS</w:t>
      </w:r>
      <w:proofErr w:type="spellEnd"/>
      <w:r w:rsidR="00CD3262">
        <w:rPr>
          <w:rFonts w:cstheme="minorHAnsi"/>
          <w:color w:val="1F1B1B"/>
        </w:rPr>
        <w:t xml:space="preserve"> </w:t>
      </w:r>
      <w:r w:rsidRPr="008C141A">
        <w:rPr>
          <w:rFonts w:cstheme="minorHAnsi"/>
          <w:color w:val="1F1B1B"/>
        </w:rPr>
        <w:fldChar w:fldCharType="begin" w:fldLock="1"/>
      </w:r>
      <w:r w:rsidR="009C0DAD">
        <w:rPr>
          <w:rFonts w:cstheme="minorHAnsi"/>
          <w:color w:val="1F1B1B"/>
        </w:rPr>
        <w:instrText>ADDIN CSL_CITATION {"citationItems":[{"id":"ITEM-1","itemData":{"DOI":"10.2165/11208440-000000000-00000","ISSN":"11791950","abstract":"Belimumab is a fully human recombinant IgG1λ monoclonal antibody that inhibits the binding of soluble B lymphocyte stimulator to B cells and hence prevents the survival and differentiation of selected B-cell subsets. It is available in the US, the EU and Canada for the treatment of adult patients with active, autoantibody-positive systemic lupus erythematosus (SLE) with a high degree of disease activity despite receiving standard therapy.At 52 weeks, a significantly greater proportion of belimumab 10mgkg than placebo recipients experienced a response as assessed by the SLE Responder Index (primary endpoint) in the randomized, double-blind, multinational, phase III BLISS-52 and BLISS-76 trials in patients with active seropositive SLE receiving standard therapy.A significantly greater proportion of belimumab than placebo recipients achieved a ≥4 point reduction in the SELENA-SLEDAI score at week 52 in both BLISS trials. However, the SLE Responder Index response rate was not significantly different between belimumab and placebo at 76 weeks in BLISS-76.Belimumab was generally well tolerated in the BLISS trials. During the double-blind periods of these trials and the phase II trial, twice as many deaths were reported with belimumab than placebo (six vs three). There were no meaningful differences between the incidence of serious infections and malignancies with belimumab or placebo. © 2011 Adis Data Information BV. All rights reserved.","author":[{"dropping-particle":"","family":"Burness","given":"Celeste B.","non-dropping-particle":"","parse-names":false,"suffix":""},{"dropping-particle":"","family":"McCormack","given":"Paul L.","non-dropping-particle":"","parse-names":false,"suffix":""}],"container-title":"Drugs","id":"ITEM-1","issued":{"date-parts":[["2011"]]},"title":"Belimumab: In systemic lupus erythematosus","type":"article"},"uris":["http://www.mendeley.com/documents/?uuid=0aedddf2-872d-4769-a3fb-96d8b7725a86"]}],"mendeley":{"formattedCitation":"(4)","plainTextFormattedCitation":"(4)","previouslyFormattedCitation":"&lt;sup&gt;6&lt;/sup&gt;"},"properties":{"noteIndex":0},"schema":"https://github.com/citation-style-language/schema/raw/master/csl-citation.json"}</w:instrText>
      </w:r>
      <w:r w:rsidRPr="008C141A">
        <w:rPr>
          <w:rFonts w:cstheme="minorHAnsi"/>
          <w:color w:val="1F1B1B"/>
        </w:rPr>
        <w:fldChar w:fldCharType="separate"/>
      </w:r>
      <w:r w:rsidR="009C0DAD" w:rsidRPr="009C0DAD">
        <w:rPr>
          <w:rFonts w:cstheme="minorHAnsi"/>
          <w:noProof/>
          <w:color w:val="1F1B1B"/>
        </w:rPr>
        <w:t>(4)</w:t>
      </w:r>
      <w:r w:rsidRPr="008C141A">
        <w:rPr>
          <w:rFonts w:cstheme="minorHAnsi"/>
          <w:color w:val="1F1B1B"/>
        </w:rPr>
        <w:fldChar w:fldCharType="end"/>
      </w:r>
      <w:r w:rsidR="00CD3262">
        <w:rPr>
          <w:rFonts w:cstheme="minorHAnsi"/>
          <w:color w:val="1F1B1B"/>
        </w:rPr>
        <w:t xml:space="preserve">. </w:t>
      </w:r>
      <w:r w:rsidRPr="008C141A">
        <w:rPr>
          <w:rFonts w:cstheme="minorHAnsi"/>
          <w:color w:val="1F1B1B"/>
        </w:rPr>
        <w:t>Under NICE guida</w:t>
      </w:r>
      <w:r>
        <w:rPr>
          <w:rFonts w:cstheme="minorHAnsi"/>
          <w:color w:val="1F1B1B"/>
        </w:rPr>
        <w:t>nce</w:t>
      </w:r>
      <w:r w:rsidRPr="008C141A">
        <w:rPr>
          <w:rFonts w:cstheme="minorHAnsi"/>
          <w:color w:val="1F1B1B"/>
        </w:rPr>
        <w:t xml:space="preserve">, it is licenced for use as an add on therapy to patients with active autoantibody positive SLE, despite standard therapy </w:t>
      </w:r>
      <w:r w:rsidRPr="008C141A">
        <w:rPr>
          <w:rFonts w:cstheme="minorHAnsi"/>
          <w:color w:val="1F1B1B"/>
        </w:rPr>
        <w:fldChar w:fldCharType="begin" w:fldLock="1"/>
      </w:r>
      <w:r w:rsidR="009C0DAD">
        <w:rPr>
          <w:rFonts w:cstheme="minorHAnsi"/>
          <w:color w:val="1F1B1B"/>
        </w:rPr>
        <w:instrText>ADDIN CSL_CITATION {"citationItems":[{"id":"ITEM-1","itemData":{"abstract":"Evidence-based recommendations&amp;nbsp;on belimumab (Benlysta) as an add-on treatment for active autoantibody-positive systemic lupus erythematosus in adults. There is a managed access agreement, which sets out the conditions for availability of belimumab. Guidance development process How we develop NICE technology appraisal guidance Next review: If a review in June 2019 is not considered appropriate, there will be a mandatory review no later than June 2021.","author":[{"dropping-particle":"","family":"NICE","given":"","non-dropping-particle":"","parse-names":false,"suffix":""}],"container-title":"National Institute for Health and Care Excellance","id":"ITEM-1","issued":{"date-parts":[["2016"]]},"title":"Belimumab for treating active autoantibody-positive systemic lupus erythematosus | Guidance and guidelines | NICE","type":"article-journal"},"uris":["http://www.mendeley.com/documents/?uuid=efc62997-98f8-4bd4-b5bd-91f28ea7356e"]}],"mendeley":{"formattedCitation":"(5)","plainTextFormattedCitation":"(5)","previouslyFormattedCitation":"&lt;sup&gt;9&lt;/sup&gt;"},"properties":{"noteIndex":0},"schema":"https://github.com/citation-style-language/schema/raw/master/csl-citation.json"}</w:instrText>
      </w:r>
      <w:r w:rsidRPr="008C141A">
        <w:rPr>
          <w:rFonts w:cstheme="minorHAnsi"/>
          <w:color w:val="1F1B1B"/>
        </w:rPr>
        <w:fldChar w:fldCharType="separate"/>
      </w:r>
      <w:r w:rsidR="009C0DAD" w:rsidRPr="009C0DAD">
        <w:rPr>
          <w:rFonts w:cstheme="minorHAnsi"/>
          <w:noProof/>
          <w:color w:val="1F1B1B"/>
        </w:rPr>
        <w:t>(5)</w:t>
      </w:r>
      <w:r w:rsidRPr="008C141A">
        <w:rPr>
          <w:rFonts w:cstheme="minorHAnsi"/>
          <w:color w:val="1F1B1B"/>
        </w:rPr>
        <w:fldChar w:fldCharType="end"/>
      </w:r>
      <w:r w:rsidRPr="008C141A">
        <w:rPr>
          <w:rFonts w:cstheme="minorHAnsi"/>
          <w:color w:val="1F1B1B"/>
        </w:rPr>
        <w:t xml:space="preserve">. </w:t>
      </w:r>
      <w:r w:rsidR="00A46B7B">
        <w:rPr>
          <w:rFonts w:cstheme="minorHAnsi"/>
          <w:color w:val="1F1B1B"/>
        </w:rPr>
        <w:t>It is not licensed for use in lupus nephritis</w:t>
      </w:r>
      <w:r w:rsidR="00F829AB">
        <w:rPr>
          <w:rFonts w:cstheme="minorHAnsi"/>
          <w:color w:val="1F1B1B"/>
        </w:rPr>
        <w:t xml:space="preserve"> (LN)</w:t>
      </w:r>
      <w:r w:rsidR="00A46B7B">
        <w:rPr>
          <w:rFonts w:cstheme="minorHAnsi"/>
          <w:color w:val="1F1B1B"/>
        </w:rPr>
        <w:t xml:space="preserve">, </w:t>
      </w:r>
      <w:r w:rsidR="00F829AB">
        <w:rPr>
          <w:rFonts w:cstheme="minorHAnsi"/>
          <w:color w:val="1F1B1B"/>
        </w:rPr>
        <w:t xml:space="preserve">however </w:t>
      </w:r>
      <w:r w:rsidR="009B49D6">
        <w:rPr>
          <w:rFonts w:cstheme="minorHAnsi"/>
          <w:color w:val="1F1B1B"/>
        </w:rPr>
        <w:t>the</w:t>
      </w:r>
      <w:r w:rsidR="00F829AB">
        <w:rPr>
          <w:rFonts w:cstheme="minorHAnsi"/>
          <w:color w:val="1F1B1B"/>
        </w:rPr>
        <w:t xml:space="preserve"> very</w:t>
      </w:r>
      <w:r w:rsidR="009B49D6">
        <w:rPr>
          <w:rFonts w:cstheme="minorHAnsi"/>
          <w:color w:val="1F1B1B"/>
        </w:rPr>
        <w:t xml:space="preserve"> recent</w:t>
      </w:r>
      <w:r w:rsidR="009B49D6" w:rsidRPr="009B49D6">
        <w:rPr>
          <w:rFonts w:cstheme="minorHAnsi"/>
        </w:rPr>
        <w:t xml:space="preserve"> </w:t>
      </w:r>
      <w:r w:rsidR="009B49D6" w:rsidRPr="00D82944">
        <w:rPr>
          <w:rFonts w:cstheme="minorHAnsi"/>
        </w:rPr>
        <w:t>BLISS-LN</w:t>
      </w:r>
      <w:r w:rsidR="009B49D6">
        <w:rPr>
          <w:rFonts w:cstheme="minorHAnsi"/>
        </w:rPr>
        <w:t xml:space="preserve"> trial demonstrated positive results in LN patients treated with belimumab versus placebo </w:t>
      </w:r>
      <w:r w:rsidR="009B49D6" w:rsidRPr="00CD42E9">
        <w:rPr>
          <w:rFonts w:cstheme="minorHAnsi"/>
        </w:rPr>
        <w:t>therapy</w:t>
      </w:r>
      <w:r w:rsidR="007C6579">
        <w:rPr>
          <w:rFonts w:cstheme="minorHAnsi"/>
        </w:rPr>
        <w:t xml:space="preserve"> (</w:t>
      </w:r>
      <w:r w:rsidR="007C6579">
        <w:rPr>
          <w:rFonts w:cstheme="minorHAnsi"/>
        </w:rPr>
        <w:t>results of which are yet to be fully published</w:t>
      </w:r>
      <w:r w:rsidR="00D11922">
        <w:rPr>
          <w:rFonts w:cstheme="minorHAnsi"/>
        </w:rPr>
        <w:t>)</w:t>
      </w:r>
      <w:r w:rsidR="009B49D6">
        <w:rPr>
          <w:rFonts w:cstheme="minorHAnsi"/>
        </w:rPr>
        <w:t xml:space="preserve"> </w:t>
      </w:r>
      <w:r w:rsidR="009B49D6">
        <w:rPr>
          <w:rFonts w:cstheme="minorHAnsi"/>
        </w:rPr>
        <w:fldChar w:fldCharType="begin" w:fldLock="1"/>
      </w:r>
      <w:r w:rsidR="009C0DAD">
        <w:rPr>
          <w:rFonts w:cstheme="minorHAnsi"/>
        </w:rPr>
        <w:instrText>ADDIN CSL_CITATION {"citationItems":[{"id":"ITEM-1","itemData":{"DOI":"10.1093/ndt/gfaa146.lb001","ISSN":"0931-0509","abstract":"Belimumab (BEL), an anti-B-cell-activating factor (BAFF) monoclonal antibody, is approved in patients (pts) ≥5 years of age with active systemic lupus erythematosus (SLE). &lt;em&gt;Post hoc&lt;/em&gt; analyses of pooled renal outcomes data from two Phase 3 SLE studies showed favourable trends of greater reduction in proteinuria, haematuria, pyuria and lower renal flare rates in BEL-treated pts vs placebo (PBO).&lt;sup&gt;1&lt;/sup&gt; This is the largest study in acute lupus nephritis (LN) to date that evaluated efficacy and safety of intravenous (IV) BEL plus standard therapy (ST) in pts with active LN.\nBLISS-LN is a Phase 3, randomised, double-blind, placebo-controlled, 104-week study (GSK study BEL114054, NCT01639339); eligible pts (≥18 years) with autoantibody-positive SLE and active, biopsy-proven LN (classes III, IV and/or V) were randomised (1:1) to monthly BEL 10 mg/kg IV or PBO, plus ST. Randomisation was stratified by induction regimen: high dose corticosteroids [HDCS] plus either cyclophosphamide (CyC), followed by azathioprine + low dose corticosteroids (LDCS), or mycophenolate mofetil (MMF), followed by MMF + LDCS. Primary endpoint: primary efficacy renal response (PERR; defined as urine protein creatinine ratio [uPCR] ≤0.7; estimated glomerular filtration rate [eGFR] no more than 20% below pre-flare value or ≥60 ml/min/1.73m&lt;sup&gt;2&lt;/sup&gt;; no rescue therapy) at Week (Wk) 104. Key secondary endpoints: complete renal response (CRR; defined as uPCR &amp;lt;0.5; eGFR no more than 10% below pre-flare value or ≥90 ml/min/1.73m&lt;sup&gt;2&lt;/sup&gt;; no rescue therapy) at Wk 104; PERR at Wk 52; risk of renal-related event (defined as end-stage renal disease/doubling of serum creatinine/renal worsening/renal disease-related treatment failure) or death at any time up to Wk 104. Other endpoints: PERR and CRR at Wk 104 by induction regimen; proportions of pts with baseline uPCR ≥0.5 with uPCR shift to &amp;lt;0.5 while on study.\nOverall, 448 pts were randomised (efficacy: 223/treatment group; safety: 224/treatment group); 118 pts received CyC induction and 328 MMF induction; 278 (62.3%) completed the treatment.\nAt Wk 104, 43.0% BEL and 32.3% PBO pts achieved PERR (OR [95% CI] vs PBO 1.55 [1.04, 2.32], p=0.0311); 30.0% BEL and 19.7% PBO pts achieved CRR (OR [95% CI] vs PBO 1.74 [1.11, 2.74], p=0.0167). Over 104 weeks, more BEL than PBO pts achieved CRR at each visit (&lt;strong&gt;Figure 1A&lt;/strong&gt;). PERR at Wk 52 was achieved by 46.6% BEL and 35.4% PBO pts (OR [95% CI] vs PBO 1.59 [1.06, 2.38], p=…","author":[{"dropping-particle":"","family":"Rovin","given":"Brad","non-dropping-particle":"","parse-names":false,"suffix":""},{"dropping-particle":"","family":"Houssiau","given":"Frédéric A","non-dropping-particle":"","parse-names":false,"suffix":""},{"dropping-particle":"","family":"Furie","given":"Richard","non-dropping-particle":"","parse-names":false,"suffix":""},{"dropping-particle":"","family":"Malvar","given":"Ana","non-dropping-particle":"","parse-names":false,"suffix":""},{"dropping-particle":"","family":"Teng","given":"Y K O","non-dropping-particle":"","parse-names":false,"suffix":""},{"dropping-particle":"","family":"Mok","given":"Chi Chiu","non-dropping-particle":"","parse-names":false,"suffix":""},{"dropping-particle":"","family":"Contreras","given":"Gabriel","non-dropping-particle":"","parse-names":false,"suffix":""},{"dropping-particle":"","family":"Yu","given":"Xueqing","non-dropping-particle":"","parse-names":false,"suffix":""},{"dropping-particle":"","family":"Dolff","given":"Sebastian","non-dropping-particle":"","parse-names":false,"suffix":""},{"dropping-particle":"","family":"Ji","given":"Beulah","non-dropping-particle":"","parse-names":false,"suffix":""},{"dropping-particle":"","family":"Roth","given":"David","non-dropping-particle":"","parse-names":false,"suffix":""},{"dropping-particle":"","family":"Kleoudis","given":"Christi","non-dropping-particle":"","parse-names":false,"suffix":""},{"dropping-particle":"","family":"Bass","given":"Damon","non-dropping-particle":"","parse-names":false,"suffix":""},{"dropping-particle":"","family":"Madan","given":"Anuradha","non-dropping-particle":"","parse-names":false,"suffix":""},{"dropping-particle":"","family":"Wright","given":"Amanda","non-dropping-particle":"","parse-names":false,"suffix":""},{"dropping-particle":"","family":"Barnett","given":"Carly","non-dropping-particle":"","parse-names":false,"suffix":""},{"dropping-particle":"","family":"Green","given":"Yulia","non-dropping-particle":"","parse-names":false,"suffix":""}],"container-title":"Nephrology Dialysis Transplantation","id":"ITEM-1","issued":{"date-parts":[["2020"]]},"title":"LB001EFFICACY AND SAFETY OF BELIMUMAB IN PATIENTS WITH ACTIVE LUPUS NEPHRITIS: A PHASE 3, RANDOMISED, PLACEBO-CONTROLLED TRIAL","type":"article-journal"},"uris":["http://www.mendeley.com/documents/?uuid=b03f4f91-68d0-466f-b8bd-d26d293d8760"]}],"mendeley":{"formattedCitation":"(6)","plainTextFormattedCitation":"(6)","previouslyFormattedCitation":"&lt;sup&gt;13&lt;/sup&gt;"},"properties":{"noteIndex":0},"schema":"https://github.com/citation-style-language/schema/raw/master/csl-citation.json"}</w:instrText>
      </w:r>
      <w:r w:rsidR="009B49D6">
        <w:rPr>
          <w:rFonts w:cstheme="minorHAnsi"/>
        </w:rPr>
        <w:fldChar w:fldCharType="separate"/>
      </w:r>
      <w:r w:rsidR="009C0DAD" w:rsidRPr="009C0DAD">
        <w:rPr>
          <w:rFonts w:cstheme="minorHAnsi"/>
          <w:noProof/>
        </w:rPr>
        <w:t>(6)</w:t>
      </w:r>
      <w:r w:rsidR="009B49D6">
        <w:rPr>
          <w:rFonts w:cstheme="minorHAnsi"/>
        </w:rPr>
        <w:fldChar w:fldCharType="end"/>
      </w:r>
      <w:r w:rsidR="00F829AB">
        <w:rPr>
          <w:rFonts w:cstheme="minorHAnsi"/>
        </w:rPr>
        <w:t>.</w:t>
      </w:r>
      <w:r w:rsidR="00C62E99">
        <w:rPr>
          <w:rFonts w:cstheme="minorHAnsi"/>
        </w:rPr>
        <w:t xml:space="preserve"> </w:t>
      </w:r>
      <w:r w:rsidR="009B49D6">
        <w:rPr>
          <w:rFonts w:cstheme="minorHAnsi"/>
          <w:color w:val="1F1B1B"/>
        </w:rPr>
        <w:t xml:space="preserve">In this case report, we discuss the management of an SLE patient, complicated by difficult to treat </w:t>
      </w:r>
      <w:r w:rsidR="00EF367A">
        <w:rPr>
          <w:rFonts w:cstheme="minorHAnsi"/>
          <w:color w:val="1F1B1B"/>
        </w:rPr>
        <w:t xml:space="preserve">class IV </w:t>
      </w:r>
      <w:r w:rsidR="009B49D6">
        <w:rPr>
          <w:rFonts w:cstheme="minorHAnsi"/>
          <w:color w:val="1F1B1B"/>
        </w:rPr>
        <w:t>LN</w:t>
      </w:r>
      <w:r w:rsidR="00EF367A">
        <w:rPr>
          <w:rFonts w:cstheme="minorHAnsi"/>
          <w:color w:val="1F1B1B"/>
        </w:rPr>
        <w:t>, having failed or did not tolerate tacrolimus, cyclophosphamide and ciclosporin</w:t>
      </w:r>
      <w:r w:rsidR="009B49D6">
        <w:rPr>
          <w:rFonts w:cstheme="minorHAnsi"/>
          <w:color w:val="1F1B1B"/>
        </w:rPr>
        <w:t xml:space="preserve">. </w:t>
      </w:r>
      <w:r w:rsidR="00EF367A">
        <w:rPr>
          <w:rFonts w:cstheme="minorHAnsi"/>
          <w:color w:val="1F1B1B"/>
        </w:rPr>
        <w:t>There were also difficulties</w:t>
      </w:r>
      <w:r w:rsidR="008556BD">
        <w:rPr>
          <w:rFonts w:cstheme="minorHAnsi"/>
          <w:color w:val="1F1B1B"/>
        </w:rPr>
        <w:t xml:space="preserve"> in attempting satisfactory control of SLE symptoms</w:t>
      </w:r>
      <w:r w:rsidR="00CE51B4">
        <w:rPr>
          <w:rFonts w:cstheme="minorHAnsi"/>
          <w:color w:val="1F1B1B"/>
        </w:rPr>
        <w:t xml:space="preserve">, including </w:t>
      </w:r>
      <w:r w:rsidR="008556BD">
        <w:rPr>
          <w:rFonts w:cstheme="minorHAnsi"/>
          <w:color w:val="1F1B1B"/>
        </w:rPr>
        <w:t xml:space="preserve">intolerance to methotrexate and </w:t>
      </w:r>
      <w:r w:rsidR="00CE51B4">
        <w:rPr>
          <w:rFonts w:cstheme="minorHAnsi"/>
          <w:color w:val="1F1B1B"/>
        </w:rPr>
        <w:t>azathioprine</w:t>
      </w:r>
      <w:r w:rsidR="00630B72">
        <w:rPr>
          <w:rFonts w:cstheme="minorHAnsi"/>
          <w:color w:val="1F1B1B"/>
        </w:rPr>
        <w:t>, difficult wean of oral steroids</w:t>
      </w:r>
      <w:r w:rsidR="00CE51B4">
        <w:rPr>
          <w:rFonts w:cstheme="minorHAnsi"/>
          <w:color w:val="1F1B1B"/>
        </w:rPr>
        <w:t xml:space="preserve">, </w:t>
      </w:r>
      <w:r w:rsidR="00630B72">
        <w:rPr>
          <w:rFonts w:cstheme="minorHAnsi"/>
          <w:color w:val="1F1B1B"/>
        </w:rPr>
        <w:t xml:space="preserve">and </w:t>
      </w:r>
      <w:r w:rsidR="008556BD">
        <w:rPr>
          <w:rFonts w:cstheme="minorHAnsi"/>
          <w:color w:val="1F1B1B"/>
        </w:rPr>
        <w:t>multiple hospital admissions</w:t>
      </w:r>
      <w:r w:rsidR="00EF367A">
        <w:rPr>
          <w:rFonts w:cstheme="minorHAnsi"/>
          <w:color w:val="1F1B1B"/>
        </w:rPr>
        <w:t xml:space="preserve"> </w:t>
      </w:r>
      <w:r w:rsidR="00CE51B4">
        <w:rPr>
          <w:rFonts w:cstheme="minorHAnsi"/>
          <w:color w:val="1F1B1B"/>
        </w:rPr>
        <w:t xml:space="preserve">for </w:t>
      </w:r>
      <w:r w:rsidR="008556BD">
        <w:rPr>
          <w:rFonts w:cstheme="minorHAnsi"/>
          <w:color w:val="1F1B1B"/>
        </w:rPr>
        <w:t>intravenous steroids and immunoglobulins</w:t>
      </w:r>
      <w:r w:rsidR="00CE51B4">
        <w:rPr>
          <w:rFonts w:cstheme="minorHAnsi"/>
          <w:color w:val="1F1B1B"/>
        </w:rPr>
        <w:t xml:space="preserve"> to manage flares</w:t>
      </w:r>
      <w:r w:rsidR="008556BD">
        <w:rPr>
          <w:rFonts w:cstheme="minorHAnsi"/>
          <w:color w:val="1F1B1B"/>
        </w:rPr>
        <w:t xml:space="preserve">. </w:t>
      </w:r>
      <w:r w:rsidR="004763FB">
        <w:rPr>
          <w:rFonts w:cstheme="minorHAnsi"/>
          <w:color w:val="1F1B1B"/>
        </w:rPr>
        <w:t>T</w:t>
      </w:r>
      <w:r w:rsidR="009B49D6">
        <w:rPr>
          <w:rFonts w:cstheme="minorHAnsi"/>
          <w:color w:val="1F1B1B"/>
        </w:rPr>
        <w:t xml:space="preserve">he preliminary reports from the BLISS- LN trial </w:t>
      </w:r>
      <w:r w:rsidR="004763FB">
        <w:rPr>
          <w:rFonts w:cstheme="minorHAnsi"/>
          <w:color w:val="1F1B1B"/>
        </w:rPr>
        <w:t>has played a critical role in the successful management of this patient</w:t>
      </w:r>
      <w:r w:rsidR="00863F45">
        <w:rPr>
          <w:rFonts w:cstheme="minorHAnsi"/>
          <w:color w:val="1F1B1B"/>
        </w:rPr>
        <w:t xml:space="preserve">. The excellent response was noted clinically and serologically with improvements in </w:t>
      </w:r>
      <w:r>
        <w:rPr>
          <w:rFonts w:eastAsia="Times New Roman" w:cstheme="minorHAnsi"/>
          <w:lang w:eastAsia="en-GB"/>
        </w:rPr>
        <w:t xml:space="preserve">inflammatory markers (ESR, CRP), reduction in dsDNA and increase in complement levels. Albumin creatinine ratio also showed a dramatic improvement. </w:t>
      </w:r>
    </w:p>
    <w:p w14:paraId="242D39D9" w14:textId="1D6C8925" w:rsidR="004B7471" w:rsidRDefault="00863F45" w:rsidP="004B7471">
      <w:pPr>
        <w:shd w:val="clear" w:color="auto" w:fill="FFFFFF"/>
        <w:spacing w:after="0" w:line="240" w:lineRule="auto"/>
        <w:rPr>
          <w:rFonts w:cstheme="minorHAnsi"/>
        </w:rPr>
      </w:pPr>
      <w:r>
        <w:rPr>
          <w:rFonts w:eastAsia="Times New Roman" w:cstheme="minorHAnsi"/>
          <w:bdr w:val="none" w:sz="0" w:space="0" w:color="auto" w:frame="1"/>
          <w:lang w:eastAsia="en-GB"/>
        </w:rPr>
        <w:t xml:space="preserve">This is promising </w:t>
      </w:r>
      <w:r>
        <w:rPr>
          <w:rFonts w:cstheme="minorHAnsi"/>
        </w:rPr>
        <w:t>move towards</w:t>
      </w:r>
      <w:r>
        <w:rPr>
          <w:rFonts w:cstheme="minorHAnsi"/>
        </w:rPr>
        <w:t xml:space="preserve"> a</w:t>
      </w:r>
      <w:r>
        <w:rPr>
          <w:rFonts w:cstheme="minorHAnsi"/>
        </w:rPr>
        <w:t xml:space="preserve"> targeted biologic therapy for adults with active LN</w:t>
      </w:r>
      <w:r w:rsidR="00D11922">
        <w:rPr>
          <w:rFonts w:cstheme="minorHAnsi"/>
        </w:rPr>
        <w:t xml:space="preserve"> and potential for concurrent management of active SLE and LN</w:t>
      </w:r>
      <w:r>
        <w:rPr>
          <w:rFonts w:cstheme="minorHAnsi"/>
        </w:rPr>
        <w:t>.</w:t>
      </w:r>
    </w:p>
    <w:p w14:paraId="67D60CC2" w14:textId="19B450C9" w:rsidR="009C0DAD" w:rsidRDefault="009C0DAD" w:rsidP="004B7471">
      <w:pPr>
        <w:shd w:val="clear" w:color="auto" w:fill="FFFFFF"/>
        <w:spacing w:after="0" w:line="240" w:lineRule="auto"/>
        <w:rPr>
          <w:rFonts w:cstheme="minorHAnsi"/>
        </w:rPr>
      </w:pPr>
    </w:p>
    <w:p w14:paraId="358BEE7C" w14:textId="01289F37" w:rsidR="009C0DAD" w:rsidRDefault="009C0DAD" w:rsidP="004B7471">
      <w:pPr>
        <w:shd w:val="clear" w:color="auto" w:fill="FFFFFF"/>
        <w:spacing w:after="0" w:line="240" w:lineRule="auto"/>
        <w:rPr>
          <w:rFonts w:cstheme="minorHAnsi"/>
        </w:rPr>
      </w:pPr>
      <w:r>
        <w:rPr>
          <w:rFonts w:cstheme="minorHAnsi"/>
        </w:rPr>
        <w:t xml:space="preserve">References </w:t>
      </w:r>
    </w:p>
    <w:p w14:paraId="7A234656" w14:textId="364E46CE" w:rsidR="009C0DAD" w:rsidRDefault="009C0DAD" w:rsidP="004B7471">
      <w:pPr>
        <w:shd w:val="clear" w:color="auto" w:fill="FFFFFF"/>
        <w:spacing w:after="0" w:line="240" w:lineRule="auto"/>
        <w:rPr>
          <w:rFonts w:cstheme="minorHAnsi"/>
        </w:rPr>
      </w:pPr>
    </w:p>
    <w:p w14:paraId="4A380CB4" w14:textId="749BF0A9" w:rsidR="009C0DAD" w:rsidRPr="009C0DAD" w:rsidRDefault="009C0DAD" w:rsidP="009C0DAD">
      <w:pPr>
        <w:widowControl w:val="0"/>
        <w:autoSpaceDE w:val="0"/>
        <w:autoSpaceDN w:val="0"/>
        <w:adjustRightInd w:val="0"/>
        <w:spacing w:after="0" w:line="240" w:lineRule="auto"/>
        <w:ind w:left="640" w:hanging="640"/>
        <w:rPr>
          <w:rFonts w:ascii="Calibri" w:hAnsi="Calibri" w:cs="Calibri"/>
          <w:noProof/>
          <w:szCs w:val="24"/>
        </w:rPr>
      </w:pPr>
      <w:r>
        <w:rPr>
          <w:rFonts w:eastAsia="Times New Roman" w:cstheme="minorHAnsi"/>
          <w:lang w:eastAsia="en-GB"/>
        </w:rPr>
        <w:fldChar w:fldCharType="begin" w:fldLock="1"/>
      </w:r>
      <w:r>
        <w:rPr>
          <w:rFonts w:eastAsia="Times New Roman" w:cstheme="minorHAnsi"/>
          <w:lang w:eastAsia="en-GB"/>
        </w:rPr>
        <w:instrText xml:space="preserve">ADDIN Mendeley Bibliography CSL_BIBLIOGRAPHY </w:instrText>
      </w:r>
      <w:r>
        <w:rPr>
          <w:rFonts w:eastAsia="Times New Roman" w:cstheme="minorHAnsi"/>
          <w:lang w:eastAsia="en-GB"/>
        </w:rPr>
        <w:fldChar w:fldCharType="separate"/>
      </w:r>
      <w:r w:rsidRPr="009C0DAD">
        <w:rPr>
          <w:rFonts w:ascii="Calibri" w:hAnsi="Calibri" w:cs="Calibri"/>
          <w:noProof/>
          <w:szCs w:val="24"/>
        </w:rPr>
        <w:t xml:space="preserve">1. </w:t>
      </w:r>
      <w:r w:rsidRPr="009C0DAD">
        <w:rPr>
          <w:rFonts w:ascii="Calibri" w:hAnsi="Calibri" w:cs="Calibri"/>
          <w:noProof/>
          <w:szCs w:val="24"/>
        </w:rPr>
        <w:tab/>
        <w:t xml:space="preserve">Lisnevskaia L, Murphy G, Isenberg D. Systemic lupus erythematosus. In: The Lancet. 2014. </w:t>
      </w:r>
    </w:p>
    <w:p w14:paraId="634C3320" w14:textId="77777777" w:rsidR="009C0DAD" w:rsidRPr="009C0DAD" w:rsidRDefault="009C0DAD" w:rsidP="009C0DAD">
      <w:pPr>
        <w:widowControl w:val="0"/>
        <w:autoSpaceDE w:val="0"/>
        <w:autoSpaceDN w:val="0"/>
        <w:adjustRightInd w:val="0"/>
        <w:spacing w:after="0" w:line="240" w:lineRule="auto"/>
        <w:ind w:left="640" w:hanging="640"/>
        <w:rPr>
          <w:rFonts w:ascii="Calibri" w:hAnsi="Calibri" w:cs="Calibri"/>
          <w:noProof/>
          <w:szCs w:val="24"/>
        </w:rPr>
      </w:pPr>
      <w:r w:rsidRPr="009C0DAD">
        <w:rPr>
          <w:rFonts w:ascii="Calibri" w:hAnsi="Calibri" w:cs="Calibri"/>
          <w:noProof/>
          <w:szCs w:val="24"/>
        </w:rPr>
        <w:t xml:space="preserve">2. </w:t>
      </w:r>
      <w:r w:rsidRPr="009C0DAD">
        <w:rPr>
          <w:rFonts w:ascii="Calibri" w:hAnsi="Calibri" w:cs="Calibri"/>
          <w:noProof/>
          <w:szCs w:val="24"/>
        </w:rPr>
        <w:tab/>
        <w:t xml:space="preserve">Durcan L, O’Dwyer T, Petri M. Management strategies and future directions for systemic lupus erythematosus in adults. The Lancet. 2019. </w:t>
      </w:r>
    </w:p>
    <w:p w14:paraId="7D523561" w14:textId="77777777" w:rsidR="009C0DAD" w:rsidRPr="009C0DAD" w:rsidRDefault="009C0DAD" w:rsidP="009C0DAD">
      <w:pPr>
        <w:widowControl w:val="0"/>
        <w:autoSpaceDE w:val="0"/>
        <w:autoSpaceDN w:val="0"/>
        <w:adjustRightInd w:val="0"/>
        <w:spacing w:after="0" w:line="240" w:lineRule="auto"/>
        <w:ind w:left="640" w:hanging="640"/>
        <w:rPr>
          <w:rFonts w:ascii="Calibri" w:hAnsi="Calibri" w:cs="Calibri"/>
          <w:noProof/>
          <w:szCs w:val="24"/>
        </w:rPr>
      </w:pPr>
      <w:r w:rsidRPr="009C0DAD">
        <w:rPr>
          <w:rFonts w:ascii="Calibri" w:hAnsi="Calibri" w:cs="Calibri"/>
          <w:noProof/>
          <w:szCs w:val="24"/>
        </w:rPr>
        <w:t xml:space="preserve">3. </w:t>
      </w:r>
      <w:r w:rsidRPr="009C0DAD">
        <w:rPr>
          <w:rFonts w:ascii="Calibri" w:hAnsi="Calibri" w:cs="Calibri"/>
          <w:noProof/>
          <w:szCs w:val="24"/>
        </w:rPr>
        <w:tab/>
        <w:t xml:space="preserve">Jacob N, Stohl W. Cytokine disturbances in systemic lupus erythematosus. Arthritis Research and Therapy. 2011. </w:t>
      </w:r>
    </w:p>
    <w:p w14:paraId="55D6B383" w14:textId="77777777" w:rsidR="009C0DAD" w:rsidRPr="009C0DAD" w:rsidRDefault="009C0DAD" w:rsidP="009C0DAD">
      <w:pPr>
        <w:widowControl w:val="0"/>
        <w:autoSpaceDE w:val="0"/>
        <w:autoSpaceDN w:val="0"/>
        <w:adjustRightInd w:val="0"/>
        <w:spacing w:after="0" w:line="240" w:lineRule="auto"/>
        <w:ind w:left="640" w:hanging="640"/>
        <w:rPr>
          <w:rFonts w:ascii="Calibri" w:hAnsi="Calibri" w:cs="Calibri"/>
          <w:noProof/>
          <w:szCs w:val="24"/>
        </w:rPr>
      </w:pPr>
      <w:r w:rsidRPr="009C0DAD">
        <w:rPr>
          <w:rFonts w:ascii="Calibri" w:hAnsi="Calibri" w:cs="Calibri"/>
          <w:noProof/>
          <w:szCs w:val="24"/>
        </w:rPr>
        <w:t xml:space="preserve">4. </w:t>
      </w:r>
      <w:r w:rsidRPr="009C0DAD">
        <w:rPr>
          <w:rFonts w:ascii="Calibri" w:hAnsi="Calibri" w:cs="Calibri"/>
          <w:noProof/>
          <w:szCs w:val="24"/>
        </w:rPr>
        <w:tab/>
        <w:t xml:space="preserve">Burness CB, McCormack PL. Belimumab: In systemic lupus erythematosus. Drugs. 2011. </w:t>
      </w:r>
    </w:p>
    <w:p w14:paraId="28B18A5F" w14:textId="77777777" w:rsidR="009C0DAD" w:rsidRPr="009C0DAD" w:rsidRDefault="009C0DAD" w:rsidP="009C0DAD">
      <w:pPr>
        <w:widowControl w:val="0"/>
        <w:autoSpaceDE w:val="0"/>
        <w:autoSpaceDN w:val="0"/>
        <w:adjustRightInd w:val="0"/>
        <w:spacing w:after="0" w:line="240" w:lineRule="auto"/>
        <w:ind w:left="640" w:hanging="640"/>
        <w:rPr>
          <w:rFonts w:ascii="Calibri" w:hAnsi="Calibri" w:cs="Calibri"/>
          <w:noProof/>
          <w:szCs w:val="24"/>
        </w:rPr>
      </w:pPr>
      <w:r w:rsidRPr="009C0DAD">
        <w:rPr>
          <w:rFonts w:ascii="Calibri" w:hAnsi="Calibri" w:cs="Calibri"/>
          <w:noProof/>
          <w:szCs w:val="24"/>
        </w:rPr>
        <w:t xml:space="preserve">5. </w:t>
      </w:r>
      <w:r w:rsidRPr="009C0DAD">
        <w:rPr>
          <w:rFonts w:ascii="Calibri" w:hAnsi="Calibri" w:cs="Calibri"/>
          <w:noProof/>
          <w:szCs w:val="24"/>
        </w:rPr>
        <w:tab/>
        <w:t xml:space="preserve">NICE. Belimumab for treating active autoantibody-positive systemic lupus erythematosus | Guidance and guidelines | NICE. Natl Inst Heal Care Excell. 2016; </w:t>
      </w:r>
    </w:p>
    <w:p w14:paraId="3E1639ED" w14:textId="77777777" w:rsidR="009C0DAD" w:rsidRPr="009C0DAD" w:rsidRDefault="009C0DAD" w:rsidP="009C0DAD">
      <w:pPr>
        <w:widowControl w:val="0"/>
        <w:autoSpaceDE w:val="0"/>
        <w:autoSpaceDN w:val="0"/>
        <w:adjustRightInd w:val="0"/>
        <w:spacing w:after="0" w:line="240" w:lineRule="auto"/>
        <w:ind w:left="640" w:hanging="640"/>
        <w:rPr>
          <w:rFonts w:ascii="Calibri" w:hAnsi="Calibri" w:cs="Calibri"/>
          <w:noProof/>
        </w:rPr>
      </w:pPr>
      <w:r w:rsidRPr="009C0DAD">
        <w:rPr>
          <w:rFonts w:ascii="Calibri" w:hAnsi="Calibri" w:cs="Calibri"/>
          <w:noProof/>
          <w:szCs w:val="24"/>
        </w:rPr>
        <w:t xml:space="preserve">6. </w:t>
      </w:r>
      <w:r w:rsidRPr="009C0DAD">
        <w:rPr>
          <w:rFonts w:ascii="Calibri" w:hAnsi="Calibri" w:cs="Calibri"/>
          <w:noProof/>
          <w:szCs w:val="24"/>
        </w:rPr>
        <w:tab/>
        <w:t xml:space="preserve">Rovin B, Houssiau FA, Furie R, Malvar A, Teng YKO, Mok CC, et al. LB001EFFICACY AND SAFETY OF BELIMUMAB IN PATIENTS WITH ACTIVE LUPUS NEPHRITIS: A PHASE 3, RANDOMISED, PLACEBO-CONTROLLED TRIAL. Nephrol Dial Transplant. 2020; </w:t>
      </w:r>
    </w:p>
    <w:p w14:paraId="73FF2686" w14:textId="581339C4" w:rsidR="009C0DAD" w:rsidRPr="00D22472" w:rsidRDefault="009C0DAD" w:rsidP="004B7471">
      <w:pPr>
        <w:shd w:val="clear" w:color="auto" w:fill="FFFFFF"/>
        <w:spacing w:after="0" w:line="240" w:lineRule="auto"/>
        <w:rPr>
          <w:rFonts w:eastAsia="Times New Roman" w:cstheme="minorHAnsi"/>
          <w:lang w:eastAsia="en-GB"/>
        </w:rPr>
      </w:pPr>
      <w:r>
        <w:rPr>
          <w:rFonts w:eastAsia="Times New Roman" w:cstheme="minorHAnsi"/>
          <w:lang w:eastAsia="en-GB"/>
        </w:rPr>
        <w:fldChar w:fldCharType="end"/>
      </w:r>
    </w:p>
    <w:p w14:paraId="566DEA85" w14:textId="77777777" w:rsidR="000B4AB4" w:rsidRDefault="000B4AB4"/>
    <w:sectPr w:rsidR="000B4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471"/>
    <w:rsid w:val="000B4AB4"/>
    <w:rsid w:val="004763FB"/>
    <w:rsid w:val="004B7471"/>
    <w:rsid w:val="00630B72"/>
    <w:rsid w:val="007C6579"/>
    <w:rsid w:val="007F2727"/>
    <w:rsid w:val="008556BD"/>
    <w:rsid w:val="00863F45"/>
    <w:rsid w:val="009B49D6"/>
    <w:rsid w:val="009C0DAD"/>
    <w:rsid w:val="00A46B7B"/>
    <w:rsid w:val="00C62E99"/>
    <w:rsid w:val="00C8538F"/>
    <w:rsid w:val="00CD3262"/>
    <w:rsid w:val="00CE51B4"/>
    <w:rsid w:val="00D11922"/>
    <w:rsid w:val="00EF367A"/>
    <w:rsid w:val="00F82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0B4CA"/>
  <w15:chartTrackingRefBased/>
  <w15:docId w15:val="{D2D94C3E-F9C4-4814-922A-F0E743AB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4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C0D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5219C-477D-433C-9B22-ACB3039B8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1</Pages>
  <Words>2628</Words>
  <Characters>14981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Shahd Elamin</dc:creator>
  <cp:keywords/>
  <dc:description/>
  <cp:lastModifiedBy>Shahd Elamin</cp:lastModifiedBy>
  <cp:revision>10</cp:revision>
  <dcterms:created xsi:type="dcterms:W3CDTF">2020-07-07T20:28:00Z</dcterms:created>
  <dcterms:modified xsi:type="dcterms:W3CDTF">2020-07-08T20:13:00Z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98f9600e-9312-3895-91cd-407cbd6d7db0</vt:lpwstr>
  </property>
  <property fmtid="{D5CDD505-2E9C-101B-9397-08002B2CF9AE}" pid="4" name="Mendeley Citation Style_1">
    <vt:lpwstr>http://www.zotero.org/styles/vancouver</vt:lpwstr>
  </property>
</Properties>
</file>