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751" w:rsidRDefault="008F6686" w:rsidP="00DB5CA1">
      <w:pPr>
        <w:widowControl/>
        <w:autoSpaceDE w:val="0"/>
        <w:autoSpaceDN w:val="0"/>
        <w:adjustRightInd w:val="0"/>
        <w:rPr>
          <w:rFonts w:ascii="Arial"/>
        </w:rPr>
      </w:pPr>
      <w:r>
        <w:rPr>
          <w:rFonts w:ascii="Times New Roman" w:eastAsiaTheme="minorHAnsi" w:hAnsi="Times New Roman" w:cs="Times New Roman"/>
          <w:b/>
          <w:bCs/>
          <w:sz w:val="36"/>
          <w:szCs w:val="36"/>
        </w:rPr>
        <w:t xml:space="preserve">Is there a place for knee arthroscopy in rheumatoid arthritis? </w:t>
      </w:r>
    </w:p>
    <w:p w:rsidR="00052751" w:rsidRDefault="00052751" w:rsidP="00052751">
      <w:pPr>
        <w:pStyle w:val="BodyText"/>
        <w:spacing w:before="73" w:line="198" w:lineRule="exact"/>
        <w:ind w:left="100" w:right="5987"/>
        <w:rPr>
          <w:rFonts w:ascii="Arial"/>
        </w:rPr>
      </w:pPr>
    </w:p>
    <w:p w:rsidR="000940B3" w:rsidRDefault="0078738A" w:rsidP="00052751">
      <w:pPr>
        <w:pStyle w:val="BodyText"/>
        <w:spacing w:before="73" w:line="198" w:lineRule="exact"/>
        <w:ind w:left="100" w:right="5987"/>
        <w:rPr>
          <w:rFonts w:ascii="Arial"/>
        </w:rPr>
      </w:pPr>
      <w:r>
        <w:rPr>
          <w:rFonts w:ascii="Arial"/>
        </w:rPr>
        <w:t xml:space="preserve">Dr </w:t>
      </w:r>
      <w:r w:rsidR="000940B3" w:rsidRPr="000940B3">
        <w:rPr>
          <w:rFonts w:ascii="Arial"/>
        </w:rPr>
        <w:t>Pog</w:t>
      </w:r>
      <w:r w:rsidR="000940B3">
        <w:rPr>
          <w:rFonts w:ascii="Arial"/>
        </w:rPr>
        <w:t>a</w:t>
      </w:r>
      <w:r w:rsidR="000940B3" w:rsidRPr="000940B3">
        <w:rPr>
          <w:rFonts w:ascii="Arial"/>
        </w:rPr>
        <w:t>r</w:t>
      </w:r>
      <w:r w:rsidR="000940B3">
        <w:rPr>
          <w:rFonts w:ascii="Arial"/>
        </w:rPr>
        <w:t>a</w:t>
      </w:r>
      <w:r w:rsidR="000940B3">
        <w:rPr>
          <w:rFonts w:ascii="Arial" w:hAnsi="Arial" w:cs="Arial"/>
        </w:rPr>
        <w:t>s</w:t>
      </w:r>
      <w:r w:rsidR="000940B3" w:rsidRPr="000940B3">
        <w:rPr>
          <w:rFonts w:ascii="Arial"/>
        </w:rPr>
        <w:t>teanu Mark-Edward</w:t>
      </w:r>
      <w:r w:rsidR="005973B9">
        <w:rPr>
          <w:rFonts w:ascii="Arial"/>
        </w:rPr>
        <w:t xml:space="preserve">, </w:t>
      </w:r>
      <w:r w:rsidR="000940B3">
        <w:rPr>
          <w:rFonts w:ascii="Arial"/>
        </w:rPr>
        <w:t>MD</w:t>
      </w:r>
      <w:r w:rsidR="005973B9">
        <w:rPr>
          <w:rFonts w:ascii="Arial"/>
        </w:rPr>
        <w:t xml:space="preserve"> PhD, </w:t>
      </w:r>
      <w:r w:rsidR="000940B3" w:rsidRPr="000940B3">
        <w:rPr>
          <w:rFonts w:ascii="Arial"/>
        </w:rPr>
        <w:t>Carol Davila University of Medicine and Pharmacy, Romania</w:t>
      </w:r>
    </w:p>
    <w:p w:rsidR="005973B9" w:rsidRDefault="0078738A" w:rsidP="005973B9">
      <w:pPr>
        <w:pStyle w:val="BodyText"/>
        <w:spacing w:before="73" w:line="198" w:lineRule="exact"/>
        <w:ind w:left="100" w:right="5987"/>
        <w:rPr>
          <w:rFonts w:ascii="Arial"/>
        </w:rPr>
      </w:pPr>
      <w:r>
        <w:rPr>
          <w:rFonts w:ascii="Arial"/>
        </w:rPr>
        <w:t xml:space="preserve">Dr </w:t>
      </w:r>
      <w:r w:rsidR="000940B3" w:rsidRPr="000940B3">
        <w:rPr>
          <w:rFonts w:ascii="Arial"/>
        </w:rPr>
        <w:t>Barbilian Adrian</w:t>
      </w:r>
      <w:r w:rsidR="005973B9">
        <w:rPr>
          <w:rFonts w:ascii="Arial"/>
        </w:rPr>
        <w:t xml:space="preserve">, </w:t>
      </w:r>
      <w:r w:rsidR="000940B3" w:rsidRPr="000940B3">
        <w:rPr>
          <w:rFonts w:ascii="Arial"/>
        </w:rPr>
        <w:t>MD PhD, Carol Davila University of Medicine and Pharmacy, Romania</w:t>
      </w:r>
    </w:p>
    <w:p w:rsidR="000940B3" w:rsidRDefault="0036397E" w:rsidP="005973B9">
      <w:pPr>
        <w:pStyle w:val="BodyText"/>
        <w:spacing w:before="73" w:line="198" w:lineRule="exact"/>
        <w:ind w:left="100" w:right="5987"/>
        <w:rPr>
          <w:rFonts w:ascii="Arial"/>
        </w:rPr>
      </w:pPr>
      <w:r w:rsidRPr="0036397E">
        <w:rPr>
          <w:rFonts w:ascii="Arial"/>
        </w:rPr>
        <w:t>Dr Moga Marius, MD PhD, Carol Davila University of Medicine and Pharmacy, Romania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0940B3" w:rsidRDefault="000940B3">
      <w:pPr>
        <w:pStyle w:val="Heading3"/>
        <w:spacing w:before="147"/>
        <w:jc w:val="both"/>
      </w:pPr>
    </w:p>
    <w:p w:rsidR="00AE3E37" w:rsidRPr="008F6686" w:rsidRDefault="008F6686" w:rsidP="008F6686">
      <w:pPr>
        <w:pStyle w:val="BodyText"/>
        <w:spacing w:before="90" w:line="280" w:lineRule="auto"/>
        <w:ind w:left="100"/>
        <w:jc w:val="both"/>
        <w:rPr>
          <w:sz w:val="22"/>
          <w:szCs w:val="22"/>
        </w:rPr>
      </w:pPr>
      <w:r w:rsidRPr="008F6686">
        <w:rPr>
          <w:sz w:val="22"/>
          <w:szCs w:val="22"/>
        </w:rPr>
        <w:t xml:space="preserve">The role of arthroscopy in </w:t>
      </w:r>
      <w:r>
        <w:rPr>
          <w:sz w:val="22"/>
          <w:szCs w:val="22"/>
        </w:rPr>
        <w:t>rheumatoid arthritis for the knee joint is a subject of dispute among Orthopaedic surgeons. On one hand, a school of thought states that the Rheumatology specialist is fully responsible for the treatment of the disease, until it progresses far enough that a knee arthroplasty is necessary</w:t>
      </w:r>
      <w:r w:rsidRPr="008F6686">
        <w:rPr>
          <w:sz w:val="22"/>
          <w:szCs w:val="22"/>
        </w:rPr>
        <w:t xml:space="preserve">. On the other hand, </w:t>
      </w:r>
      <w:r>
        <w:rPr>
          <w:sz w:val="22"/>
          <w:szCs w:val="22"/>
        </w:rPr>
        <w:t>a significant number of surgeons consider that an arthroscopic s</w:t>
      </w:r>
      <w:r w:rsidR="00BD4E68">
        <w:rPr>
          <w:sz w:val="22"/>
          <w:szCs w:val="22"/>
        </w:rPr>
        <w:t>y</w:t>
      </w:r>
      <w:r w:rsidR="000118B6">
        <w:rPr>
          <w:sz w:val="22"/>
          <w:szCs w:val="22"/>
        </w:rPr>
        <w:t>novectomy</w:t>
      </w:r>
      <w:r>
        <w:rPr>
          <w:sz w:val="22"/>
          <w:szCs w:val="22"/>
        </w:rPr>
        <w:t xml:space="preserve"> has merit in cases where medical treatment is insufficient, even though the relief is temporary. </w:t>
      </w:r>
      <w:r w:rsidRPr="008F6686">
        <w:rPr>
          <w:sz w:val="22"/>
          <w:szCs w:val="22"/>
        </w:rPr>
        <w:t xml:space="preserve">We have </w:t>
      </w:r>
      <w:r w:rsidR="000118B6">
        <w:rPr>
          <w:sz w:val="22"/>
          <w:szCs w:val="22"/>
        </w:rPr>
        <w:t>performed</w:t>
      </w:r>
      <w:r w:rsidRPr="008F6686">
        <w:rPr>
          <w:sz w:val="22"/>
          <w:szCs w:val="22"/>
        </w:rPr>
        <w:t xml:space="preserve"> an overview of recent </w:t>
      </w:r>
      <w:r w:rsidR="000118B6">
        <w:rPr>
          <w:sz w:val="22"/>
          <w:szCs w:val="22"/>
        </w:rPr>
        <w:t>scientific articles</w:t>
      </w:r>
      <w:r w:rsidRPr="008F6686">
        <w:rPr>
          <w:sz w:val="22"/>
          <w:szCs w:val="22"/>
        </w:rPr>
        <w:t xml:space="preserve">, in order to find </w:t>
      </w:r>
      <w:r w:rsidR="000118B6">
        <w:rPr>
          <w:sz w:val="22"/>
          <w:szCs w:val="22"/>
        </w:rPr>
        <w:t>sound</w:t>
      </w:r>
      <w:r w:rsidRPr="008F6686">
        <w:rPr>
          <w:sz w:val="22"/>
          <w:szCs w:val="22"/>
        </w:rPr>
        <w:t xml:space="preserve"> evidence to sustain either point of view. We </w:t>
      </w:r>
      <w:r w:rsidR="000118B6">
        <w:rPr>
          <w:sz w:val="22"/>
          <w:szCs w:val="22"/>
        </w:rPr>
        <w:t>aimed to extract data from</w:t>
      </w:r>
      <w:r w:rsidRPr="008F6686">
        <w:rPr>
          <w:sz w:val="22"/>
          <w:szCs w:val="22"/>
        </w:rPr>
        <w:t xml:space="preserve"> </w:t>
      </w:r>
      <w:r w:rsidR="000118B6">
        <w:rPr>
          <w:sz w:val="22"/>
          <w:szCs w:val="22"/>
        </w:rPr>
        <w:t>literature</w:t>
      </w:r>
      <w:r w:rsidRPr="008F6686">
        <w:rPr>
          <w:sz w:val="22"/>
          <w:szCs w:val="22"/>
        </w:rPr>
        <w:t xml:space="preserve"> that included an objective</w:t>
      </w:r>
      <w:r w:rsidR="000118B6">
        <w:rPr>
          <w:sz w:val="22"/>
          <w:szCs w:val="22"/>
        </w:rPr>
        <w:t xml:space="preserve"> and quantifiable </w:t>
      </w:r>
      <w:r w:rsidR="000118B6" w:rsidRPr="008F6686">
        <w:rPr>
          <w:sz w:val="22"/>
          <w:szCs w:val="22"/>
        </w:rPr>
        <w:t>measurements</w:t>
      </w:r>
      <w:r w:rsidRPr="008F6686">
        <w:rPr>
          <w:sz w:val="22"/>
          <w:szCs w:val="22"/>
        </w:rPr>
        <w:t xml:space="preserve"> of before and after </w:t>
      </w:r>
      <w:r w:rsidR="000118B6">
        <w:rPr>
          <w:sz w:val="22"/>
          <w:szCs w:val="22"/>
        </w:rPr>
        <w:t xml:space="preserve">patient </w:t>
      </w:r>
      <w:r w:rsidRPr="008F6686">
        <w:rPr>
          <w:sz w:val="22"/>
          <w:szCs w:val="22"/>
        </w:rPr>
        <w:t>status through scores</w:t>
      </w:r>
      <w:r w:rsidR="000118B6">
        <w:rPr>
          <w:sz w:val="22"/>
          <w:szCs w:val="22"/>
        </w:rPr>
        <w:t>, both as general well-being as well as local evolution</w:t>
      </w:r>
      <w:r w:rsidRPr="008F6686">
        <w:rPr>
          <w:sz w:val="22"/>
          <w:szCs w:val="22"/>
        </w:rPr>
        <w:t xml:space="preserve">. We also </w:t>
      </w:r>
      <w:r w:rsidR="000118B6">
        <w:rPr>
          <w:sz w:val="22"/>
          <w:szCs w:val="22"/>
        </w:rPr>
        <w:t xml:space="preserve">took into consideration </w:t>
      </w:r>
      <w:r w:rsidRPr="008F6686">
        <w:rPr>
          <w:sz w:val="22"/>
          <w:szCs w:val="22"/>
        </w:rPr>
        <w:t xml:space="preserve">the </w:t>
      </w:r>
      <w:r w:rsidR="000118B6">
        <w:rPr>
          <w:sz w:val="22"/>
          <w:szCs w:val="22"/>
        </w:rPr>
        <w:t xml:space="preserve">short term </w:t>
      </w:r>
      <w:r w:rsidRPr="008F6686">
        <w:rPr>
          <w:sz w:val="22"/>
          <w:szCs w:val="22"/>
        </w:rPr>
        <w:t xml:space="preserve">evolution of the </w:t>
      </w:r>
      <w:r w:rsidR="000118B6">
        <w:rPr>
          <w:sz w:val="22"/>
          <w:szCs w:val="22"/>
        </w:rPr>
        <w:t>rheumatoid arthritis</w:t>
      </w:r>
      <w:r w:rsidRPr="008F6686">
        <w:rPr>
          <w:sz w:val="22"/>
          <w:szCs w:val="22"/>
        </w:rPr>
        <w:t xml:space="preserve"> after arthroscopy.</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052751" w:rsidRDefault="00052751" w:rsidP="00052751">
      <w:pPr>
        <w:pStyle w:val="ListParagraph"/>
        <w:numPr>
          <w:ilvl w:val="0"/>
          <w:numId w:val="3"/>
        </w:numPr>
        <w:tabs>
          <w:tab w:val="left" w:pos="384"/>
        </w:tabs>
        <w:spacing w:line="216" w:lineRule="exact"/>
        <w:ind w:right="137" w:hanging="283"/>
        <w:rPr>
          <w:sz w:val="18"/>
        </w:rPr>
      </w:pPr>
      <w:r w:rsidRPr="00052751">
        <w:rPr>
          <w:sz w:val="18"/>
        </w:rPr>
        <w:t>Pogarasteanu M., Ioncu A., Moga M., Soare G., Adam R., Barbilian A.G., "Evaluation of patients with pathology at risk for forearm and hand amputation", Romanian Journal of Clinical Research, Vol. 3, No. 1, 2020, pg 31-37</w:t>
      </w:r>
    </w:p>
    <w:p w:rsidR="005973B9" w:rsidRPr="00052751" w:rsidRDefault="00052751" w:rsidP="00052751">
      <w:pPr>
        <w:pStyle w:val="ListParagraph"/>
        <w:numPr>
          <w:ilvl w:val="0"/>
          <w:numId w:val="3"/>
        </w:numPr>
        <w:tabs>
          <w:tab w:val="left" w:pos="384"/>
        </w:tabs>
        <w:spacing w:line="216" w:lineRule="exact"/>
        <w:ind w:right="137" w:hanging="283"/>
        <w:rPr>
          <w:sz w:val="18"/>
        </w:rPr>
      </w:pPr>
      <w:r w:rsidRPr="00052751">
        <w:rPr>
          <w:sz w:val="18"/>
        </w:rPr>
        <w:t xml:space="preserve"> Pogarasteanu M.E., Costea R., Berami A., Drignei E., Moga M., Raita S.M., Balaceanu</w:t>
      </w:r>
      <w:r>
        <w:rPr>
          <w:sz w:val="18"/>
        </w:rPr>
        <w:t xml:space="preserve"> </w:t>
      </w:r>
      <w:r w:rsidRPr="00052751">
        <w:rPr>
          <w:sz w:val="18"/>
        </w:rPr>
        <w:t>R.A., Ionascu I., Barbilian R., Ionita Radu F., "An Experimental Study in the Surgical and</w:t>
      </w:r>
      <w:r>
        <w:rPr>
          <w:sz w:val="18"/>
        </w:rPr>
        <w:t xml:space="preserve"> </w:t>
      </w:r>
      <w:r w:rsidRPr="00052751">
        <w:rPr>
          <w:sz w:val="18"/>
        </w:rPr>
        <w:t>Anesthesio-Pharmacological Implications of the Practical Applicability of the Concept of</w:t>
      </w:r>
      <w:r>
        <w:rPr>
          <w:sz w:val="18"/>
        </w:rPr>
        <w:t xml:space="preserve"> </w:t>
      </w:r>
      <w:r w:rsidRPr="00052751">
        <w:rPr>
          <w:sz w:val="18"/>
        </w:rPr>
        <w:t>Myoplastic Transposition Through a Forearm Fascia Breach", Revista de Chimie, Volume 70</w:t>
      </w:r>
      <w:r>
        <w:rPr>
          <w:sz w:val="18"/>
        </w:rPr>
        <w:t xml:space="preserve">, </w:t>
      </w:r>
      <w:r w:rsidRPr="00052751">
        <w:rPr>
          <w:sz w:val="18"/>
        </w:rPr>
        <w:t xml:space="preserve">Issue 2, 2019, 736-741. </w:t>
      </w:r>
    </w:p>
    <w:p w:rsidR="00052751" w:rsidRPr="00052751" w:rsidRDefault="00052751" w:rsidP="005973B9">
      <w:pPr>
        <w:pStyle w:val="ListParagraph"/>
        <w:numPr>
          <w:ilvl w:val="0"/>
          <w:numId w:val="3"/>
        </w:numPr>
        <w:tabs>
          <w:tab w:val="left" w:pos="384"/>
        </w:tabs>
        <w:spacing w:before="85" w:line="216" w:lineRule="exact"/>
        <w:ind w:right="138"/>
      </w:pPr>
      <w:r w:rsidRPr="00052751">
        <w:rPr>
          <w:sz w:val="18"/>
        </w:rPr>
        <w:t>Pogarasteanu M.E., Dinache G., Moga M., Oproiu A.M., Ionita Radu F., "Role of electrolyte gels</w:t>
      </w:r>
      <w:r>
        <w:rPr>
          <w:sz w:val="18"/>
        </w:rPr>
        <w:t xml:space="preserve"> </w:t>
      </w:r>
      <w:r w:rsidRPr="00052751">
        <w:rPr>
          <w:sz w:val="18"/>
        </w:rPr>
        <w:t>in signal transmission across the interface between skin and surface electrodes in hand</w:t>
      </w:r>
      <w:r>
        <w:rPr>
          <w:sz w:val="18"/>
        </w:rPr>
        <w:t xml:space="preserve"> </w:t>
      </w:r>
      <w:r w:rsidRPr="00052751">
        <w:rPr>
          <w:sz w:val="18"/>
        </w:rPr>
        <w:t>exoprosthesis", Revista de Chimie, Volume 69, Issue 10, 2018, 2863-2867</w:t>
      </w:r>
    </w:p>
    <w:p w:rsidR="00052751" w:rsidRPr="004D34A7" w:rsidRDefault="00052751" w:rsidP="005973B9">
      <w:pPr>
        <w:pStyle w:val="ListParagraph"/>
        <w:numPr>
          <w:ilvl w:val="0"/>
          <w:numId w:val="3"/>
        </w:numPr>
        <w:tabs>
          <w:tab w:val="left" w:pos="384"/>
        </w:tabs>
        <w:spacing w:before="85" w:line="216" w:lineRule="exact"/>
        <w:ind w:right="138"/>
        <w:rPr>
          <w:sz w:val="18"/>
        </w:rPr>
      </w:pPr>
      <w:r w:rsidRPr="004D34A7">
        <w:rPr>
          <w:sz w:val="18"/>
        </w:rPr>
        <w:t>Plavitu A., Pogarasteanu M.E., Moga M., Barbilian C.R., Stoica I.C., Robu G.C., Oproiu A.M.,</w:t>
      </w:r>
      <w:r w:rsidR="004D34A7">
        <w:rPr>
          <w:sz w:val="18"/>
        </w:rPr>
        <w:t xml:space="preserve"> </w:t>
      </w:r>
      <w:r w:rsidR="004D34A7" w:rsidRPr="004D34A7">
        <w:rPr>
          <w:sz w:val="18"/>
        </w:rPr>
        <w:t>Jinga M., Ifrim C.F., "MRI versus CT as image data source for 3D printing bone", Revista de</w:t>
      </w:r>
      <w:r w:rsidR="004D34A7">
        <w:rPr>
          <w:sz w:val="18"/>
        </w:rPr>
        <w:t xml:space="preserve"> </w:t>
      </w:r>
      <w:r w:rsidR="004D34A7" w:rsidRPr="004D34A7">
        <w:rPr>
          <w:sz w:val="18"/>
        </w:rPr>
        <w:t>Chimie, Volume 69, Issue 10, 2018, 2881-2884</w:t>
      </w:r>
    </w:p>
    <w:p w:rsidR="005973B9" w:rsidRPr="004D34A7" w:rsidRDefault="00F1237A" w:rsidP="005973B9">
      <w:pPr>
        <w:pStyle w:val="ListParagraph"/>
        <w:numPr>
          <w:ilvl w:val="0"/>
          <w:numId w:val="3"/>
        </w:numPr>
        <w:tabs>
          <w:tab w:val="left" w:pos="384"/>
        </w:tabs>
        <w:spacing w:before="85" w:line="216" w:lineRule="exact"/>
        <w:ind w:right="138"/>
        <w:rPr>
          <w:sz w:val="18"/>
        </w:rPr>
      </w:pPr>
      <w:r w:rsidRPr="00F1237A">
        <w:rPr>
          <w:sz w:val="18"/>
        </w:rPr>
        <w:t>Milea P.L., Barbilian A., Moga M., Pogărășteanu M. E., Oproiu A.M., Lazo V., Stoica C.I., "A new</w:t>
      </w:r>
      <w:r>
        <w:rPr>
          <w:sz w:val="18"/>
        </w:rPr>
        <w:t xml:space="preserve"> </w:t>
      </w:r>
      <w:r w:rsidRPr="00F1237A">
        <w:rPr>
          <w:sz w:val="18"/>
        </w:rPr>
        <w:t>Method for Myoelectric Signal Acquisition: Preparing the Patients to Efficiently Use an</w:t>
      </w:r>
      <w:r>
        <w:rPr>
          <w:sz w:val="18"/>
        </w:rPr>
        <w:t xml:space="preserve"> </w:t>
      </w:r>
      <w:r w:rsidRPr="00F1237A">
        <w:rPr>
          <w:sz w:val="18"/>
        </w:rPr>
        <w:t>Artificial Arm", Romanian Journal of Information Science and Technology, Volume 20, Number 2,</w:t>
      </w:r>
      <w:r>
        <w:rPr>
          <w:sz w:val="18"/>
        </w:rPr>
        <w:t xml:space="preserve"> </w:t>
      </w:r>
      <w:r w:rsidRPr="00F1237A">
        <w:rPr>
          <w:sz w:val="18"/>
        </w:rPr>
        <w:t>2017, 115–123.</w:t>
      </w:r>
      <w:r w:rsidR="005973B9" w:rsidRPr="004D34A7">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90057B">
      <w:pPr>
        <w:pStyle w:val="BodyText"/>
        <w:spacing w:line="40" w:lineRule="exact"/>
        <w:ind w:left="2202"/>
        <w:rPr>
          <w:rFonts w:ascii="Calibri"/>
          <w:sz w:val="4"/>
        </w:rPr>
      </w:pPr>
      <w:r w:rsidRPr="0090057B">
        <w:rPr>
          <w:rFonts w:ascii="Calibri"/>
          <w:noProof/>
          <w:sz w:val="4"/>
          <w:lang w:val="en-IN" w:eastAsia="en-IN"/>
        </w:rPr>
      </w:r>
      <w:r w:rsidRPr="0090057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6397E" w:rsidRDefault="0036397E" w:rsidP="00404E5B">
      <w:pPr>
        <w:spacing w:before="92"/>
        <w:ind w:right="4234"/>
        <w:rPr>
          <w:noProof/>
        </w:rPr>
      </w:pPr>
    </w:p>
    <w:p w:rsidR="00AE3E37" w:rsidRDefault="0036397E" w:rsidP="00404E5B">
      <w:pPr>
        <w:spacing w:before="92"/>
        <w:ind w:right="4234"/>
        <w:rPr>
          <w:rFonts w:ascii="Arial"/>
        </w:rPr>
      </w:pPr>
      <w:r w:rsidRPr="0036397E">
        <w:rPr>
          <w:noProof/>
        </w:rPr>
        <w:t xml:space="preserve"> </w:t>
      </w:r>
      <w:r w:rsidR="00A9710C">
        <w:rPr>
          <w:rFonts w:ascii="Arial"/>
          <w:color w:val="BF5A14"/>
        </w:rPr>
        <w:t>Biography</w:t>
      </w:r>
      <w:r w:rsidR="00404E5B">
        <w:rPr>
          <w:rFonts w:ascii="Arial"/>
          <w:color w:val="BF5A14"/>
        </w:rPr>
        <w:t xml:space="preserve"> (150 word limit)</w:t>
      </w:r>
    </w:p>
    <w:p w:rsidR="0036397E" w:rsidRDefault="0036397E">
      <w:pPr>
        <w:spacing w:before="41" w:line="154" w:lineRule="exact"/>
        <w:ind w:left="213" w:right="231"/>
        <w:jc w:val="both"/>
        <w:rPr>
          <w:rFonts w:ascii="Arial"/>
          <w:sz w:val="14"/>
        </w:rPr>
      </w:pPr>
    </w:p>
    <w:p w:rsidR="00AE3E37" w:rsidRDefault="0036397E">
      <w:pPr>
        <w:spacing w:before="41" w:line="154" w:lineRule="exact"/>
        <w:ind w:left="213" w:right="231"/>
        <w:jc w:val="both"/>
        <w:rPr>
          <w:rFonts w:ascii="Arial"/>
          <w:sz w:val="14"/>
        </w:rPr>
      </w:pPr>
      <w:r>
        <w:rPr>
          <w:rFonts w:ascii="Arial"/>
          <w:sz w:val="14"/>
        </w:rPr>
        <w:t xml:space="preserve"> </w:t>
      </w:r>
      <w:r w:rsidR="00B0049A">
        <w:rPr>
          <w:rFonts w:ascii="Arial"/>
          <w:sz w:val="14"/>
        </w:rPr>
        <w:t>Dr. Pogarasteanu is an Orthopedic surgeon working in the Central Military Hospital in Bucharest, Romania, as well as Lecturer of Orthopedics and Traumatology with the Carol Davila University of Medicine, also in Bucharest. His areas of interest include shoulder surgery, hand surgery and myoelectric prosthetics, as well as theoretical and applied research.</w:t>
      </w:r>
    </w:p>
    <w:p w:rsidR="00B0049A" w:rsidRDefault="00B0049A">
      <w:pPr>
        <w:spacing w:before="41" w:line="154" w:lineRule="exact"/>
        <w:ind w:left="213" w:right="231"/>
        <w:jc w:val="both"/>
        <w:rPr>
          <w:rFonts w:ascii="Arial"/>
          <w:sz w:val="14"/>
        </w:rPr>
      </w:pPr>
    </w:p>
    <w:p w:rsidR="00B0049A" w:rsidRDefault="00B0049A">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0940B3" w:rsidRPr="00C447FF">
          <w:rPr>
            <w:rStyle w:val="Hyperlink"/>
            <w:rFonts w:ascii="Arial"/>
            <w:sz w:val="14"/>
          </w:rPr>
          <w:t>mark.pogarasteanu@gmail.com</w:t>
        </w:r>
      </w:hyperlink>
    </w:p>
    <w:p w:rsidR="00AE3E37" w:rsidRDefault="0090057B">
      <w:pPr>
        <w:pStyle w:val="BodyText"/>
        <w:spacing w:before="2"/>
        <w:rPr>
          <w:rFonts w:ascii="Arial"/>
          <w:sz w:val="19"/>
        </w:rPr>
      </w:pPr>
      <w:bookmarkStart w:id="0" w:name="_GoBack"/>
      <w:bookmarkEnd w:id="0"/>
      <w:r w:rsidRPr="0090057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ABE" w:rsidRDefault="00482ABE">
      <w:r>
        <w:separator/>
      </w:r>
    </w:p>
  </w:endnote>
  <w:endnote w:type="continuationSeparator" w:id="1">
    <w:p w:rsidR="00482ABE" w:rsidRDefault="00482A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0057B">
    <w:pPr>
      <w:pStyle w:val="BodyText"/>
      <w:spacing w:line="14" w:lineRule="auto"/>
      <w:rPr>
        <w:sz w:val="20"/>
      </w:rPr>
    </w:pPr>
    <w:r w:rsidRPr="0090057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0057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0057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ABE" w:rsidRDefault="00482ABE">
      <w:r>
        <w:separator/>
      </w:r>
    </w:p>
  </w:footnote>
  <w:footnote w:type="continuationSeparator" w:id="1">
    <w:p w:rsidR="00482ABE" w:rsidRDefault="00482A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0057B">
    <w:pPr>
      <w:pStyle w:val="BodyText"/>
      <w:spacing w:line="14" w:lineRule="auto"/>
      <w:rPr>
        <w:sz w:val="20"/>
      </w:rPr>
    </w:pPr>
    <w:r w:rsidRPr="0090057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0057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118B6"/>
    <w:rsid w:val="00052751"/>
    <w:rsid w:val="000940B3"/>
    <w:rsid w:val="000E2911"/>
    <w:rsid w:val="001263DF"/>
    <w:rsid w:val="001E5620"/>
    <w:rsid w:val="001E763C"/>
    <w:rsid w:val="00292ED9"/>
    <w:rsid w:val="00314AFB"/>
    <w:rsid w:val="00316BE3"/>
    <w:rsid w:val="0036397E"/>
    <w:rsid w:val="003B76D9"/>
    <w:rsid w:val="00404E5B"/>
    <w:rsid w:val="00414F7B"/>
    <w:rsid w:val="004355DC"/>
    <w:rsid w:val="004749B4"/>
    <w:rsid w:val="00482ABE"/>
    <w:rsid w:val="00494130"/>
    <w:rsid w:val="004D34A7"/>
    <w:rsid w:val="004F3523"/>
    <w:rsid w:val="004F7960"/>
    <w:rsid w:val="005973B9"/>
    <w:rsid w:val="005B3A56"/>
    <w:rsid w:val="006060CE"/>
    <w:rsid w:val="0063497F"/>
    <w:rsid w:val="0078738A"/>
    <w:rsid w:val="007C40BF"/>
    <w:rsid w:val="008021C9"/>
    <w:rsid w:val="00873DF0"/>
    <w:rsid w:val="008756E6"/>
    <w:rsid w:val="008A7061"/>
    <w:rsid w:val="008F6686"/>
    <w:rsid w:val="0090057B"/>
    <w:rsid w:val="009664B9"/>
    <w:rsid w:val="009B2D44"/>
    <w:rsid w:val="009F6B32"/>
    <w:rsid w:val="00A07E82"/>
    <w:rsid w:val="00A9710C"/>
    <w:rsid w:val="00AE3E37"/>
    <w:rsid w:val="00B0049A"/>
    <w:rsid w:val="00B21A57"/>
    <w:rsid w:val="00BD4E68"/>
    <w:rsid w:val="00C33602"/>
    <w:rsid w:val="00CD6F55"/>
    <w:rsid w:val="00D62425"/>
    <w:rsid w:val="00DB5CA1"/>
    <w:rsid w:val="00DE3104"/>
    <w:rsid w:val="00E96506"/>
    <w:rsid w:val="00EF0F72"/>
    <w:rsid w:val="00F1237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k.pogarasteanu@g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6F972387-0F82-4228-96BD-7C38733A3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Mark</cp:lastModifiedBy>
  <cp:revision>13</cp:revision>
  <dcterms:created xsi:type="dcterms:W3CDTF">2016-08-31T13:10:00Z</dcterms:created>
  <dcterms:modified xsi:type="dcterms:W3CDTF">2020-05-06T17:55:00Z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