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DE3D65" w:rsidP="00494130">
      <w:pPr>
        <w:pStyle w:val="1"/>
        <w:spacing w:before="170"/>
        <w:ind w:left="0"/>
      </w:pPr>
      <w:r w:rsidRPr="00DE3D65">
        <w:rPr>
          <w:color w:val="337AB7"/>
        </w:rPr>
        <w:t>Study of the ratio of the</w:t>
      </w:r>
      <w:bookmarkStart w:id="0" w:name="_GoBack"/>
      <w:bookmarkEnd w:id="0"/>
      <w:r w:rsidRPr="00DE3D65">
        <w:rPr>
          <w:color w:val="337AB7"/>
        </w:rPr>
        <w:t xml:space="preserve"> concentrations of methotrexate (MTX) metabolites in the red blood cells of patients with rheumatoid arthritis (RA)</w:t>
      </w:r>
    </w:p>
    <w:p w:rsidR="0078738A" w:rsidRDefault="0078738A" w:rsidP="005973B9">
      <w:pPr>
        <w:pStyle w:val="a3"/>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sidR="00DE3D65">
        <w:rPr>
          <w:rFonts w:ascii="Arial"/>
        </w:rPr>
        <w:t>Gridneva</w:t>
      </w:r>
      <w:proofErr w:type="spellEnd"/>
      <w:r w:rsidR="00DE3D65">
        <w:rPr>
          <w:rFonts w:ascii="Arial"/>
        </w:rPr>
        <w:t xml:space="preserve"> GI, </w:t>
      </w:r>
      <w:r w:rsidR="005973B9">
        <w:rPr>
          <w:rFonts w:ascii="Arial"/>
        </w:rPr>
        <w:t xml:space="preserve">PhD, </w:t>
      </w:r>
      <w:proofErr w:type="spellStart"/>
      <w:r w:rsidR="00DE3D65" w:rsidRPr="00DE3D65">
        <w:rPr>
          <w:rFonts w:ascii="Arial"/>
        </w:rPr>
        <w:t>V.</w:t>
      </w:r>
      <w:proofErr w:type="gramStart"/>
      <w:r w:rsidR="00DE3D65" w:rsidRPr="00DE3D65">
        <w:rPr>
          <w:rFonts w:ascii="Arial"/>
        </w:rPr>
        <w:t>A.Nasonova</w:t>
      </w:r>
      <w:proofErr w:type="spellEnd"/>
      <w:proofErr w:type="gramEnd"/>
      <w:r w:rsidR="00DE3D65" w:rsidRPr="00DE3D65">
        <w:rPr>
          <w:rFonts w:ascii="Arial"/>
        </w:rPr>
        <w:t xml:space="preserve"> Research Institute of Rheumatology</w:t>
      </w:r>
      <w:r w:rsidR="00DE3D65">
        <w:rPr>
          <w:rFonts w:ascii="Arial"/>
        </w:rPr>
        <w:t>, Russia</w:t>
      </w:r>
      <w:r w:rsidR="005973B9">
        <w:rPr>
          <w:rFonts w:ascii="Arial"/>
        </w:rPr>
        <w:t xml:space="preserve"> </w:t>
      </w:r>
    </w:p>
    <w:p w:rsidR="005973B9" w:rsidRDefault="0078738A" w:rsidP="00DE3D65">
      <w:pPr>
        <w:pStyle w:val="a3"/>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sidR="00DE3D65">
        <w:rPr>
          <w:rFonts w:ascii="Arial"/>
        </w:rPr>
        <w:t>Muraviev</w:t>
      </w:r>
      <w:proofErr w:type="spellEnd"/>
      <w:r w:rsidR="00DE3D65">
        <w:rPr>
          <w:rFonts w:ascii="Arial"/>
        </w:rPr>
        <w:t xml:space="preserve"> </w:t>
      </w:r>
      <w:proofErr w:type="spellStart"/>
      <w:r w:rsidR="00DE3D65">
        <w:rPr>
          <w:rFonts w:ascii="Arial"/>
        </w:rPr>
        <w:t>YuV</w:t>
      </w:r>
      <w:proofErr w:type="spellEnd"/>
      <w:r w:rsidR="005973B9">
        <w:rPr>
          <w:rFonts w:ascii="Arial"/>
        </w:rPr>
        <w:t xml:space="preserve">, </w:t>
      </w:r>
      <w:r w:rsidR="00DE3D65">
        <w:rPr>
          <w:rFonts w:ascii="Arial"/>
        </w:rPr>
        <w:t>P</w:t>
      </w:r>
      <w:r w:rsidR="00DE3D65">
        <w:rPr>
          <w:rFonts w:ascii="Arial"/>
        </w:rPr>
        <w:t>rof.</w:t>
      </w:r>
      <w:r w:rsidR="00DE3D65">
        <w:rPr>
          <w:rFonts w:ascii="Arial"/>
        </w:rPr>
        <w:t xml:space="preserve">, </w:t>
      </w:r>
      <w:proofErr w:type="spellStart"/>
      <w:r w:rsidR="00DE3D65" w:rsidRPr="00DE3D65">
        <w:rPr>
          <w:rFonts w:ascii="Arial"/>
        </w:rPr>
        <w:t>V.</w:t>
      </w:r>
      <w:proofErr w:type="gramStart"/>
      <w:r w:rsidR="00DE3D65" w:rsidRPr="00DE3D65">
        <w:rPr>
          <w:rFonts w:ascii="Arial"/>
        </w:rPr>
        <w:t>A.Nasonova</w:t>
      </w:r>
      <w:proofErr w:type="spellEnd"/>
      <w:proofErr w:type="gramEnd"/>
      <w:r w:rsidR="00DE3D65" w:rsidRPr="00DE3D65">
        <w:rPr>
          <w:rFonts w:ascii="Arial"/>
        </w:rPr>
        <w:t xml:space="preserve"> Research Institute of Rheumatology</w:t>
      </w:r>
      <w:r w:rsidR="00DE3D65">
        <w:rPr>
          <w:rFonts w:ascii="Arial"/>
        </w:rPr>
        <w:t>, Russia</w:t>
      </w:r>
    </w:p>
    <w:p w:rsidR="00DE3D65" w:rsidRDefault="00DE3D65" w:rsidP="00DE3D65">
      <w:pPr>
        <w:pStyle w:val="a3"/>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Pr>
          <w:rFonts w:ascii="Arial"/>
        </w:rPr>
        <w:t>Aronova</w:t>
      </w:r>
      <w:proofErr w:type="spellEnd"/>
      <w:r>
        <w:rPr>
          <w:rFonts w:ascii="Arial"/>
        </w:rPr>
        <w:t xml:space="preserve"> ES, </w:t>
      </w:r>
      <w:r>
        <w:rPr>
          <w:rFonts w:ascii="Arial"/>
        </w:rPr>
        <w:t xml:space="preserve">PhD, </w:t>
      </w:r>
      <w:proofErr w:type="spellStart"/>
      <w:r w:rsidRPr="00DE3D65">
        <w:rPr>
          <w:rFonts w:ascii="Arial"/>
        </w:rPr>
        <w:t>V.</w:t>
      </w:r>
      <w:proofErr w:type="gramStart"/>
      <w:r w:rsidRPr="00DE3D65">
        <w:rPr>
          <w:rFonts w:ascii="Arial"/>
        </w:rPr>
        <w:t>A.Nasonova</w:t>
      </w:r>
      <w:proofErr w:type="spellEnd"/>
      <w:proofErr w:type="gramEnd"/>
      <w:r w:rsidRPr="00DE3D65">
        <w:rPr>
          <w:rFonts w:ascii="Arial"/>
        </w:rPr>
        <w:t xml:space="preserve"> Research Institute of Rheumatology</w:t>
      </w:r>
      <w:r>
        <w:rPr>
          <w:rFonts w:ascii="Arial"/>
        </w:rPr>
        <w:t>, Russia</w:t>
      </w:r>
    </w:p>
    <w:p w:rsidR="00DE3D65" w:rsidRPr="00DE3D65" w:rsidRDefault="00DE3D65" w:rsidP="00DE3D65">
      <w:pPr>
        <w:pStyle w:val="a3"/>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proofErr w:type="gramStart"/>
      <w:r w:rsidR="004F3BCE" w:rsidRPr="004F3BCE">
        <w:rPr>
          <w:rFonts w:ascii="Arial"/>
        </w:rPr>
        <w:t>Kudryavtceva</w:t>
      </w:r>
      <w:proofErr w:type="spellEnd"/>
      <w:r w:rsidR="004F3BCE">
        <w:rPr>
          <w:rFonts w:ascii="Arial"/>
        </w:rPr>
        <w:t xml:space="preserve"> </w:t>
      </w:r>
      <w:r w:rsidR="004F3BCE">
        <w:rPr>
          <w:rFonts w:ascii="Arial"/>
        </w:rPr>
        <w:t>,</w:t>
      </w:r>
      <w:proofErr w:type="gramEnd"/>
      <w:r w:rsidR="004F3BCE">
        <w:rPr>
          <w:rFonts w:ascii="Arial"/>
        </w:rPr>
        <w:t xml:space="preserve"> PhD, </w:t>
      </w:r>
      <w:proofErr w:type="spellStart"/>
      <w:r w:rsidR="004F3BCE" w:rsidRPr="00DE3D65">
        <w:rPr>
          <w:rFonts w:ascii="Arial"/>
        </w:rPr>
        <w:t>V.A.Nasonova</w:t>
      </w:r>
      <w:proofErr w:type="spellEnd"/>
      <w:r w:rsidR="004F3BCE" w:rsidRPr="00DE3D65">
        <w:rPr>
          <w:rFonts w:ascii="Arial"/>
        </w:rPr>
        <w:t xml:space="preserve"> Research Institute of Rheumatology</w:t>
      </w:r>
      <w:r w:rsidR="004F3BCE">
        <w:rPr>
          <w:rFonts w:ascii="Arial"/>
        </w:rPr>
        <w:t>, Russia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BA5581" w:rsidRDefault="00BA5581" w:rsidP="00BA5581">
      <w:pPr>
        <w:pStyle w:val="a3"/>
        <w:spacing w:before="90" w:line="280" w:lineRule="auto"/>
        <w:ind w:left="100"/>
        <w:jc w:val="both"/>
      </w:pPr>
      <w:r>
        <w:t>Statement of the Problem: The concentration of MT</w:t>
      </w:r>
      <w:r>
        <w:rPr>
          <w:rFonts w:ascii="Calibri" w:hAnsi="Calibri" w:cs="Calibri"/>
        </w:rPr>
        <w:t>Х</w:t>
      </w:r>
      <w:r>
        <w:t xml:space="preserve"> </w:t>
      </w:r>
      <w:proofErr w:type="spellStart"/>
      <w:r>
        <w:t>polyglutamates</w:t>
      </w:r>
      <w:proofErr w:type="spellEnd"/>
      <w:r>
        <w:t xml:space="preserve"> (MT</w:t>
      </w:r>
      <w:r>
        <w:rPr>
          <w:rFonts w:ascii="Calibri" w:hAnsi="Calibri" w:cs="Calibri"/>
        </w:rPr>
        <w:t>Х</w:t>
      </w:r>
      <w:r>
        <w:t>PG) in red blood cells may become an objective therapy response predictor. Objective is to study the correlation between the level of MT</w:t>
      </w:r>
      <w:r>
        <w:rPr>
          <w:rFonts w:ascii="Calibri" w:hAnsi="Calibri" w:cs="Calibri"/>
        </w:rPr>
        <w:t>Х</w:t>
      </w:r>
      <w:r>
        <w:t xml:space="preserve">PG in patients taking methotrexate in stable doses, on the therapeutic response. Methodology &amp; Theoretical Orientation: The study included 60 (44 women and 16 men) adult (&gt;18 years old) RA patients according to ACR/EULAR 2010 criteria. Group 1 (n=30) had good therapeutic effect on MTX therapy according to the EULAR criteria of the treatment effectiveness. Group 2 (n = 30) had moderate or no effect.  MTXPG (total and MTXPG 1,2,3,4,5) were determined in erythrocytes by tandem mass spectrometry.  The therapy was: MTX subcutaneously at least 20 mg/week, for 12-225 weeks before including.  Results: The weekly dose of MTX was comparable in all patients.  It was established that the levels of total MTPG and MTPG1,2,3,5 in erythrocytes did not correlate with the effectiveness of MTX. At the same time, the level of MTPXG4 was significantly higher (p = 0.023) in patients of group 1 (26.4±6.1 </w:t>
      </w:r>
      <w:proofErr w:type="spellStart"/>
      <w:r>
        <w:t>nmol</w:t>
      </w:r>
      <w:proofErr w:type="spellEnd"/>
      <w:r>
        <w:t xml:space="preserve">/l) compared with patients in group 2 (22.1±6.8 </w:t>
      </w:r>
      <w:proofErr w:type="spellStart"/>
      <w:r>
        <w:t>nmol</w:t>
      </w:r>
      <w:proofErr w:type="spellEnd"/>
      <w:r>
        <w:t xml:space="preserve">/l).  ROC-analyses showed that MTPG4 values below 22.5 </w:t>
      </w:r>
      <w:proofErr w:type="spellStart"/>
      <w:r>
        <w:t>nmol</w:t>
      </w:r>
      <w:proofErr w:type="spellEnd"/>
      <w:r>
        <w:t>/l matched to the absence of the therapeutic effect of MT.  The area under the curve was 0.672, (CI 95 0.536-0.808);</w:t>
      </w:r>
      <w:r>
        <w:t xml:space="preserve"> </w:t>
      </w:r>
      <w:r>
        <w:t>p=0.022.  Specificity-53.3%, sensitivity - 77%.</w:t>
      </w:r>
    </w:p>
    <w:p w:rsidR="00AE3E37" w:rsidRDefault="00BA5581" w:rsidP="00BA5581">
      <w:pPr>
        <w:pStyle w:val="a3"/>
        <w:spacing w:before="90" w:line="280" w:lineRule="auto"/>
        <w:ind w:left="100"/>
        <w:jc w:val="both"/>
      </w:pPr>
      <w:r>
        <w:t xml:space="preserve"> Conclusion: The target level of MTXPG4 in erythrocytes to achieve a good therapeutic response is 22.5 </w:t>
      </w:r>
      <w:proofErr w:type="spellStart"/>
      <w:r>
        <w:t>nmol</w:t>
      </w:r>
      <w:proofErr w:type="spellEnd"/>
      <w:r>
        <w:t xml:space="preserve"> / L or more.</w:t>
      </w:r>
      <w:r w:rsidR="00A9710C">
        <w:t xml:space="preserve"> </w:t>
      </w:r>
    </w:p>
    <w:p w:rsidR="00AE3E37" w:rsidRDefault="00A9710C">
      <w:pPr>
        <w:pStyle w:val="3"/>
        <w:spacing w:before="74"/>
      </w:pPr>
      <w:r>
        <w:rPr>
          <w:b w:val="0"/>
        </w:rPr>
        <w:br w:type="column"/>
      </w:r>
      <w:r>
        <w:rPr>
          <w:color w:val="BF5A14"/>
        </w:rPr>
        <w:lastRenderedPageBreak/>
        <w:t>Image</w:t>
      </w:r>
    </w:p>
    <w:p w:rsidR="00AE3E37" w:rsidRDefault="004F3BCE">
      <w:pPr>
        <w:pStyle w:val="a3"/>
        <w:spacing w:before="2"/>
        <w:rPr>
          <w:rFonts w:ascii="Arial"/>
          <w:b/>
          <w:sz w:val="16"/>
        </w:rPr>
      </w:pPr>
      <w:r w:rsidRPr="004F3BCE">
        <w:rPr>
          <w:rFonts w:ascii="Arial"/>
          <w:b/>
          <w:sz w:val="16"/>
        </w:rPr>
        <w:drawing>
          <wp:inline distT="0" distB="0" distL="0" distR="0" wp14:anchorId="1E460F26" wp14:editId="116AE293">
            <wp:extent cx="2905125" cy="217840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10792" cy="2182657"/>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C95B0D" w:rsidRPr="00C95B0D" w:rsidRDefault="00C95B0D" w:rsidP="00C95B0D">
      <w:pPr>
        <w:tabs>
          <w:tab w:val="left" w:pos="384"/>
        </w:tabs>
        <w:ind w:right="117"/>
        <w:rPr>
          <w:sz w:val="18"/>
          <w:szCs w:val="18"/>
        </w:rPr>
      </w:pPr>
      <w:r>
        <w:rPr>
          <w:sz w:val="18"/>
          <w:szCs w:val="18"/>
        </w:rPr>
        <w:t xml:space="preserve">De </w:t>
      </w:r>
      <w:proofErr w:type="spellStart"/>
      <w:r>
        <w:rPr>
          <w:sz w:val="18"/>
          <w:szCs w:val="18"/>
        </w:rPr>
        <w:t>Rotte</w:t>
      </w:r>
      <w:proofErr w:type="spellEnd"/>
      <w:r>
        <w:rPr>
          <w:sz w:val="18"/>
          <w:szCs w:val="18"/>
        </w:rPr>
        <w:t xml:space="preserve"> MCFJ </w:t>
      </w:r>
      <w:r w:rsidRPr="00C95B0D">
        <w:rPr>
          <w:sz w:val="18"/>
          <w:szCs w:val="18"/>
        </w:rPr>
        <w:t xml:space="preserve">et al. Methotrexate </w:t>
      </w:r>
      <w:proofErr w:type="spellStart"/>
      <w:r w:rsidRPr="00C95B0D">
        <w:rPr>
          <w:sz w:val="18"/>
          <w:szCs w:val="18"/>
        </w:rPr>
        <w:t>polyglutamates</w:t>
      </w:r>
      <w:proofErr w:type="spellEnd"/>
      <w:r w:rsidRPr="00C95B0D">
        <w:rPr>
          <w:sz w:val="18"/>
          <w:szCs w:val="18"/>
        </w:rPr>
        <w:t xml:space="preserve"> in erythrocytes are associated with lower </w:t>
      </w:r>
      <w:proofErr w:type="spellStart"/>
      <w:r w:rsidRPr="00C95B0D">
        <w:rPr>
          <w:sz w:val="18"/>
          <w:szCs w:val="18"/>
        </w:rPr>
        <w:t>diseaseactivity</w:t>
      </w:r>
      <w:proofErr w:type="spellEnd"/>
      <w:r w:rsidRPr="00C95B0D">
        <w:rPr>
          <w:sz w:val="18"/>
          <w:szCs w:val="18"/>
        </w:rPr>
        <w:t xml:space="preserve"> in patients with rheumatoid arthritis. Ann Rheum Dis.</w:t>
      </w:r>
      <w:proofErr w:type="gramStart"/>
      <w:r w:rsidRPr="00C95B0D">
        <w:rPr>
          <w:sz w:val="18"/>
          <w:szCs w:val="18"/>
        </w:rPr>
        <w:t>2015;74:408</w:t>
      </w:r>
      <w:proofErr w:type="gramEnd"/>
      <w:r w:rsidRPr="00C95B0D">
        <w:rPr>
          <w:sz w:val="18"/>
          <w:szCs w:val="18"/>
        </w:rPr>
        <w:t>–14.</w:t>
      </w:r>
    </w:p>
    <w:p w:rsidR="00C95B0D" w:rsidRPr="00C95B0D" w:rsidRDefault="00C95B0D" w:rsidP="00C95B0D">
      <w:pPr>
        <w:tabs>
          <w:tab w:val="left" w:pos="384"/>
        </w:tabs>
        <w:ind w:right="117"/>
        <w:rPr>
          <w:sz w:val="18"/>
          <w:szCs w:val="18"/>
        </w:rPr>
      </w:pPr>
    </w:p>
    <w:p w:rsidR="00C95B0D" w:rsidRPr="00C95B0D" w:rsidRDefault="00C95B0D" w:rsidP="00C95B0D">
      <w:pPr>
        <w:tabs>
          <w:tab w:val="left" w:pos="384"/>
        </w:tabs>
        <w:ind w:right="117"/>
        <w:rPr>
          <w:sz w:val="18"/>
          <w:szCs w:val="18"/>
        </w:rPr>
      </w:pPr>
      <w:proofErr w:type="spellStart"/>
      <w:r w:rsidRPr="00C95B0D">
        <w:rPr>
          <w:sz w:val="18"/>
          <w:szCs w:val="18"/>
        </w:rPr>
        <w:t>Hobl</w:t>
      </w:r>
      <w:proofErr w:type="spellEnd"/>
      <w:r w:rsidRPr="00C95B0D">
        <w:rPr>
          <w:sz w:val="18"/>
          <w:szCs w:val="18"/>
        </w:rPr>
        <w:t xml:space="preserve"> EL, et al. A short-chain methotrexate </w:t>
      </w:r>
      <w:proofErr w:type="spellStart"/>
      <w:r w:rsidRPr="00C95B0D">
        <w:rPr>
          <w:sz w:val="18"/>
          <w:szCs w:val="18"/>
        </w:rPr>
        <w:t>polyglutamate</w:t>
      </w:r>
      <w:proofErr w:type="spellEnd"/>
      <w:r w:rsidRPr="00C95B0D">
        <w:rPr>
          <w:sz w:val="18"/>
          <w:szCs w:val="18"/>
        </w:rPr>
        <w:t xml:space="preserve"> as outcome parameter in rheumatoid arthritis patients receiving methotrexate. </w:t>
      </w:r>
      <w:proofErr w:type="spellStart"/>
      <w:r w:rsidRPr="00C95B0D">
        <w:rPr>
          <w:sz w:val="18"/>
          <w:szCs w:val="18"/>
        </w:rPr>
        <w:t>Clin</w:t>
      </w:r>
      <w:proofErr w:type="spellEnd"/>
      <w:r w:rsidRPr="00C95B0D">
        <w:rPr>
          <w:sz w:val="18"/>
          <w:szCs w:val="18"/>
        </w:rPr>
        <w:t xml:space="preserve"> </w:t>
      </w:r>
      <w:proofErr w:type="spellStart"/>
      <w:r w:rsidRPr="00C95B0D">
        <w:rPr>
          <w:sz w:val="18"/>
          <w:szCs w:val="18"/>
        </w:rPr>
        <w:t>Exp</w:t>
      </w:r>
      <w:proofErr w:type="spellEnd"/>
      <w:r w:rsidRPr="00C95B0D">
        <w:rPr>
          <w:sz w:val="18"/>
          <w:szCs w:val="18"/>
        </w:rPr>
        <w:t xml:space="preserve"> </w:t>
      </w:r>
      <w:proofErr w:type="spellStart"/>
      <w:r w:rsidRPr="00C95B0D">
        <w:rPr>
          <w:sz w:val="18"/>
          <w:szCs w:val="18"/>
        </w:rPr>
        <w:t>Rheumatol</w:t>
      </w:r>
      <w:proofErr w:type="spellEnd"/>
      <w:r w:rsidRPr="00C95B0D">
        <w:rPr>
          <w:sz w:val="18"/>
          <w:szCs w:val="18"/>
        </w:rPr>
        <w:t xml:space="preserve">. </w:t>
      </w:r>
      <w:proofErr w:type="gramStart"/>
      <w:r w:rsidRPr="00C95B0D">
        <w:rPr>
          <w:sz w:val="18"/>
          <w:szCs w:val="18"/>
        </w:rPr>
        <w:t>2012;30:156</w:t>
      </w:r>
      <w:proofErr w:type="gramEnd"/>
      <w:r w:rsidRPr="00C95B0D">
        <w:rPr>
          <w:sz w:val="18"/>
          <w:szCs w:val="18"/>
        </w:rPr>
        <w:t>–63</w:t>
      </w:r>
    </w:p>
    <w:p w:rsidR="00C95B0D" w:rsidRPr="00C95B0D" w:rsidRDefault="00C95B0D" w:rsidP="00C95B0D">
      <w:pPr>
        <w:tabs>
          <w:tab w:val="left" w:pos="384"/>
        </w:tabs>
        <w:ind w:right="117"/>
        <w:rPr>
          <w:sz w:val="18"/>
          <w:szCs w:val="18"/>
        </w:rPr>
      </w:pPr>
    </w:p>
    <w:p w:rsidR="00C95B0D" w:rsidRPr="00C95B0D" w:rsidRDefault="00C95B0D" w:rsidP="00C95B0D">
      <w:pPr>
        <w:tabs>
          <w:tab w:val="left" w:pos="384"/>
        </w:tabs>
        <w:ind w:right="117"/>
        <w:rPr>
          <w:sz w:val="18"/>
          <w:szCs w:val="18"/>
        </w:rPr>
      </w:pPr>
      <w:r w:rsidRPr="00C95B0D">
        <w:rPr>
          <w:sz w:val="18"/>
          <w:szCs w:val="18"/>
        </w:rPr>
        <w:t>Takahashi C, et al. Association of erythrocyte methotrexate-</w:t>
      </w:r>
      <w:proofErr w:type="spellStart"/>
      <w:r w:rsidRPr="00C95B0D">
        <w:rPr>
          <w:sz w:val="18"/>
          <w:szCs w:val="18"/>
        </w:rPr>
        <w:t>polyglutamate</w:t>
      </w:r>
      <w:proofErr w:type="spellEnd"/>
      <w:r w:rsidRPr="00C95B0D">
        <w:rPr>
          <w:sz w:val="18"/>
          <w:szCs w:val="18"/>
        </w:rPr>
        <w:t xml:space="preserve"> levels with the efficacy and hepatotoxicity of </w:t>
      </w:r>
      <w:r>
        <w:rPr>
          <w:sz w:val="18"/>
          <w:szCs w:val="18"/>
        </w:rPr>
        <w:t>m</w:t>
      </w:r>
      <w:r w:rsidRPr="00C95B0D">
        <w:rPr>
          <w:sz w:val="18"/>
          <w:szCs w:val="18"/>
        </w:rPr>
        <w:t>ethotrexate in patients with rheumatoid arthritis: a 76-week prospective study. RMD Open 2017;3:</w:t>
      </w:r>
    </w:p>
    <w:p w:rsidR="00C95B0D" w:rsidRPr="00C95B0D" w:rsidRDefault="00C95B0D" w:rsidP="00C95B0D">
      <w:pPr>
        <w:tabs>
          <w:tab w:val="left" w:pos="384"/>
        </w:tabs>
        <w:ind w:right="117"/>
        <w:rPr>
          <w:sz w:val="18"/>
          <w:szCs w:val="18"/>
        </w:rPr>
      </w:pPr>
    </w:p>
    <w:p w:rsidR="00C95B0D" w:rsidRPr="00C95B0D" w:rsidRDefault="00C95B0D" w:rsidP="00C95B0D">
      <w:pPr>
        <w:tabs>
          <w:tab w:val="left" w:pos="384"/>
        </w:tabs>
        <w:ind w:right="117"/>
        <w:rPr>
          <w:sz w:val="18"/>
          <w:szCs w:val="18"/>
        </w:rPr>
      </w:pPr>
      <w:r w:rsidRPr="00C95B0D">
        <w:rPr>
          <w:sz w:val="18"/>
          <w:szCs w:val="18"/>
        </w:rPr>
        <w:t xml:space="preserve">Stamp L, O'Donnell J, Chapman P Determinants of red blood cell methotrexate </w:t>
      </w:r>
      <w:proofErr w:type="spellStart"/>
      <w:r w:rsidRPr="00C95B0D">
        <w:rPr>
          <w:sz w:val="18"/>
          <w:szCs w:val="18"/>
        </w:rPr>
        <w:t>polyglutamate</w:t>
      </w:r>
      <w:proofErr w:type="spellEnd"/>
      <w:r w:rsidRPr="00C95B0D">
        <w:rPr>
          <w:sz w:val="18"/>
          <w:szCs w:val="18"/>
        </w:rPr>
        <w:t xml:space="preserve"> concentrations in rheumatoid arthritis patients receiving long-term methotrexate treatment. Arthritis Rheum. 2009 Aug;60(8):2248-56. </w:t>
      </w:r>
      <w:r w:rsidRPr="00C95B0D">
        <w:rPr>
          <w:sz w:val="18"/>
          <w:szCs w:val="18"/>
        </w:rPr>
        <w:t>D</w:t>
      </w:r>
    </w:p>
    <w:p w:rsidR="00C95B0D" w:rsidRPr="00C95B0D" w:rsidRDefault="00C95B0D" w:rsidP="00C95B0D">
      <w:pPr>
        <w:tabs>
          <w:tab w:val="left" w:pos="384"/>
        </w:tabs>
        <w:ind w:right="117"/>
        <w:rPr>
          <w:sz w:val="18"/>
          <w:szCs w:val="18"/>
        </w:rPr>
      </w:pPr>
    </w:p>
    <w:p w:rsidR="00AE3E37" w:rsidRDefault="00C95B0D" w:rsidP="00C95B0D">
      <w:pPr>
        <w:tabs>
          <w:tab w:val="left" w:pos="384"/>
        </w:tabs>
        <w:ind w:right="117"/>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roofErr w:type="spellStart"/>
      <w:r w:rsidRPr="00C95B0D">
        <w:rPr>
          <w:sz w:val="18"/>
          <w:szCs w:val="18"/>
        </w:rPr>
        <w:t>Dervieux</w:t>
      </w:r>
      <w:proofErr w:type="spellEnd"/>
      <w:r w:rsidRPr="00C95B0D">
        <w:rPr>
          <w:sz w:val="18"/>
          <w:szCs w:val="18"/>
        </w:rPr>
        <w:t xml:space="preserve"> T, </w:t>
      </w:r>
      <w:proofErr w:type="spellStart"/>
      <w:r w:rsidRPr="00C95B0D">
        <w:rPr>
          <w:sz w:val="18"/>
          <w:szCs w:val="18"/>
        </w:rPr>
        <w:t>Zablocki</w:t>
      </w:r>
      <w:proofErr w:type="spellEnd"/>
      <w:r w:rsidRPr="00C95B0D">
        <w:rPr>
          <w:sz w:val="18"/>
          <w:szCs w:val="18"/>
        </w:rPr>
        <w:t xml:space="preserve"> R, Kremer J. Red blood cell methotrexate </w:t>
      </w:r>
      <w:proofErr w:type="spellStart"/>
      <w:r w:rsidRPr="00C95B0D">
        <w:rPr>
          <w:sz w:val="18"/>
          <w:szCs w:val="18"/>
        </w:rPr>
        <w:t>polyglutamates</w:t>
      </w:r>
      <w:proofErr w:type="spellEnd"/>
      <w:r w:rsidRPr="00C95B0D">
        <w:rPr>
          <w:sz w:val="18"/>
          <w:szCs w:val="18"/>
        </w:rPr>
        <w:t xml:space="preserve"> emerge as a function of dosage intensity and route of administration during pulse methotrexate therapy in rheumatoid </w:t>
      </w:r>
      <w:proofErr w:type="spellStart"/>
      <w:proofErr w:type="gramStart"/>
      <w:r w:rsidRPr="00C95B0D">
        <w:rPr>
          <w:sz w:val="18"/>
          <w:szCs w:val="18"/>
        </w:rPr>
        <w:t>arthritis.Rheumatology</w:t>
      </w:r>
      <w:proofErr w:type="spellEnd"/>
      <w:proofErr w:type="gramEnd"/>
      <w:r w:rsidRPr="00C95B0D">
        <w:rPr>
          <w:sz w:val="18"/>
          <w:szCs w:val="18"/>
        </w:rPr>
        <w:t xml:space="preserve"> (Oxford). 2010 Dec;49(12):2337-45. </w:t>
      </w:r>
      <w:r w:rsidR="008756E6">
        <w:rPr>
          <w:rFonts w:ascii="Calibri" w:hAnsi="Calibri"/>
        </w:rPr>
        <w:t xml:space="preserve">  </w:t>
      </w: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1BA81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95B0D">
        <w:rPr>
          <w:noProof/>
          <w:lang w:val="ru-RU" w:eastAsia="ru-RU"/>
        </w:rPr>
        <w:drawing>
          <wp:inline distT="0" distB="0" distL="0" distR="0">
            <wp:extent cx="619125" cy="619125"/>
            <wp:effectExtent l="0" t="0" r="9525" b="9525"/>
            <wp:docPr id="2" name="Рисунок 2" descr="Гриднева Галина Игорев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риднева Галина Игоревн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619125" cy="619125"/>
                    </a:xfrm>
                    <a:prstGeom prst="rect">
                      <a:avLst/>
                    </a:prstGeom>
                    <a:noFill/>
                    <a:ln>
                      <a:noFill/>
                    </a:ln>
                  </pic:spPr>
                </pic:pic>
              </a:graphicData>
            </a:graphic>
          </wp:inline>
        </w:drawing>
      </w:r>
      <w:r w:rsidR="00C95B0D">
        <w:rPr>
          <w:noProof/>
        </w:rPr>
        <w:t xml:space="preserve"> </w:t>
      </w:r>
      <w:r w:rsidR="00A9710C">
        <w:rPr>
          <w:rFonts w:ascii="Arial"/>
          <w:color w:val="BF5A14"/>
        </w:rPr>
        <w:t>Biography</w:t>
      </w:r>
      <w:r w:rsidR="00404E5B">
        <w:rPr>
          <w:rFonts w:ascii="Arial"/>
          <w:color w:val="BF5A14"/>
        </w:rPr>
        <w:t xml:space="preserve"> </w:t>
      </w:r>
    </w:p>
    <w:p w:rsidR="00AE3E37" w:rsidRDefault="007C64BA">
      <w:pPr>
        <w:spacing w:before="41" w:line="154" w:lineRule="exact"/>
        <w:ind w:left="213" w:right="231"/>
        <w:jc w:val="both"/>
        <w:rPr>
          <w:rFonts w:ascii="Arial"/>
          <w:sz w:val="14"/>
        </w:rPr>
      </w:pPr>
      <w:proofErr w:type="spellStart"/>
      <w:r w:rsidRPr="007C64BA">
        <w:rPr>
          <w:rFonts w:ascii="Arial"/>
          <w:sz w:val="14"/>
        </w:rPr>
        <w:t>Dr</w:t>
      </w:r>
      <w:proofErr w:type="spellEnd"/>
      <w:r w:rsidRPr="007C64BA">
        <w:rPr>
          <w:rFonts w:ascii="Arial"/>
          <w:sz w:val="14"/>
        </w:rPr>
        <w:t xml:space="preserve"> has extensive clinical and research experience</w:t>
      </w:r>
      <w:r>
        <w:rPr>
          <w:rFonts w:ascii="Arial"/>
          <w:sz w:val="14"/>
        </w:rPr>
        <w:t xml:space="preserve"> in the rheumatology. </w:t>
      </w:r>
      <w:r w:rsidRPr="007C64BA">
        <w:rPr>
          <w:rFonts w:ascii="Arial"/>
          <w:sz w:val="14"/>
        </w:rPr>
        <w:t>PhD since 2016. Special</w:t>
      </w:r>
      <w:r>
        <w:rPr>
          <w:rFonts w:ascii="Arial"/>
          <w:sz w:val="14"/>
        </w:rPr>
        <w:t>izes in the personification of</w:t>
      </w:r>
      <w:r w:rsidRPr="007C64BA">
        <w:rPr>
          <w:rFonts w:ascii="Arial"/>
          <w:sz w:val="14"/>
        </w:rPr>
        <w:t xml:space="preserve"> disease modifying </w:t>
      </w:r>
      <w:proofErr w:type="spellStart"/>
      <w:r w:rsidRPr="007C64BA">
        <w:rPr>
          <w:rFonts w:ascii="Arial"/>
          <w:sz w:val="14"/>
        </w:rPr>
        <w:t>antirheumatic</w:t>
      </w:r>
      <w:proofErr w:type="spellEnd"/>
      <w:r w:rsidRPr="007C64BA">
        <w:rPr>
          <w:rFonts w:ascii="Arial"/>
          <w:sz w:val="14"/>
        </w:rPr>
        <w:t xml:space="preserve"> therapy.  Validated the methodology for calculating the dose of methotrexate on the body surface area of </w:t>
      </w:r>
      <w:r w:rsidRPr="007C64BA">
        <w:rPr>
          <w:rFonts w:ascii="Arial" w:hAnsi="Arial" w:cs="Arial"/>
          <w:sz w:val="14"/>
        </w:rPr>
        <w:t>​​</w:t>
      </w:r>
      <w:r w:rsidRPr="007C64BA">
        <w:rPr>
          <w:rFonts w:ascii="Arial"/>
          <w:sz w:val="14"/>
        </w:rPr>
        <w:t xml:space="preserve">patients with rheumatoid arthritis, which is used at V.A. </w:t>
      </w:r>
      <w:proofErr w:type="spellStart"/>
      <w:r w:rsidRPr="007C64BA">
        <w:rPr>
          <w:rFonts w:ascii="Arial"/>
          <w:sz w:val="14"/>
        </w:rPr>
        <w:t>Nasonova</w:t>
      </w:r>
      <w:proofErr w:type="spellEnd"/>
      <w:r w:rsidRPr="007C64BA">
        <w:rPr>
          <w:rFonts w:ascii="Arial"/>
          <w:sz w:val="14"/>
        </w:rPr>
        <w:t xml:space="preserve"> Research Institute of Rheumatology and recommended for use in medical institutions in Russia.  Her current research interests are the optimization of methotrexate therapy for pat</w:t>
      </w:r>
      <w:r>
        <w:rPr>
          <w:rFonts w:ascii="Arial"/>
          <w:sz w:val="14"/>
        </w:rPr>
        <w:t>ients with rheumatoid arthritis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7C64BA" w:rsidRPr="00581F55">
          <w:rPr>
            <w:rStyle w:val="ac"/>
            <w:rFonts w:ascii="Arial"/>
            <w:sz w:val="14"/>
          </w:rPr>
          <w:t>galinakugno@rambler.ru</w:t>
        </w:r>
      </w:hyperlink>
    </w:p>
    <w:p w:rsidR="00AE3E37" w:rsidRDefault="00292ED9">
      <w:pPr>
        <w:pStyle w:val="a3"/>
        <w:spacing w:before="2"/>
        <w:rPr>
          <w:rFonts w:ascii="Arial"/>
          <w:sz w:val="19"/>
        </w:rPr>
      </w:pPr>
      <w:r>
        <w:rPr>
          <w:noProof/>
          <w:lang w:val="ru-RU" w:eastAsia="ru-RU"/>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DD61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202" w:rsidRDefault="00861202">
      <w:r>
        <w:separator/>
      </w:r>
    </w:p>
  </w:endnote>
  <w:endnote w:type="continuationSeparator" w:id="0">
    <w:p w:rsidR="00861202" w:rsidRDefault="00861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202" w:rsidRDefault="00861202">
      <w:r>
        <w:separator/>
      </w:r>
    </w:p>
  </w:footnote>
  <w:footnote w:type="continuationSeparator" w:id="0">
    <w:p w:rsidR="00861202" w:rsidRDefault="008612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4F3BCE"/>
    <w:rsid w:val="005973B9"/>
    <w:rsid w:val="005B3A56"/>
    <w:rsid w:val="006060CE"/>
    <w:rsid w:val="0063497F"/>
    <w:rsid w:val="0078738A"/>
    <w:rsid w:val="007C64BA"/>
    <w:rsid w:val="00861202"/>
    <w:rsid w:val="00873DF0"/>
    <w:rsid w:val="008756E6"/>
    <w:rsid w:val="009B2D44"/>
    <w:rsid w:val="00A07E82"/>
    <w:rsid w:val="00A9710C"/>
    <w:rsid w:val="00AE3E37"/>
    <w:rsid w:val="00B21A57"/>
    <w:rsid w:val="00BA5581"/>
    <w:rsid w:val="00C33602"/>
    <w:rsid w:val="00C95B0D"/>
    <w:rsid w:val="00CD6F55"/>
    <w:rsid w:val="00D62425"/>
    <w:rsid w:val="00DE3104"/>
    <w:rsid w:val="00DE3D6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80C61"/>
  <w15:docId w15:val="{4B1BCF07-8BDE-4CE5-8D5E-E3A3EDBA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5544200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linakugno@rambler.r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3198</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Machine</cp:lastModifiedBy>
  <cp:revision>2</cp:revision>
  <dcterms:created xsi:type="dcterms:W3CDTF">2020-02-20T12:10:00Z</dcterms:created>
  <dcterms:modified xsi:type="dcterms:W3CDTF">2020-02-20T12:10:00Z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