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E375E" w14:textId="459C2C39" w:rsidR="00016B08" w:rsidRPr="00016B08" w:rsidRDefault="00016B08" w:rsidP="00016B08">
      <w:pPr>
        <w:pStyle w:val="BodyText"/>
        <w:spacing w:before="73"/>
        <w:ind w:right="5987"/>
        <w:rPr>
          <w:rFonts w:ascii="Minion Pro" w:eastAsia="Minion Pro" w:hAnsi="Minion Pro" w:cs="Minion Pro"/>
          <w:b/>
          <w:bCs/>
          <w:color w:val="337AB7"/>
          <w:sz w:val="36"/>
          <w:szCs w:val="36"/>
          <w:lang w:val="da-DK"/>
        </w:rPr>
      </w:pPr>
      <w:r w:rsidRPr="00016B08">
        <w:rPr>
          <w:rFonts w:ascii="Minion Pro" w:eastAsia="Minion Pro" w:hAnsi="Minion Pro" w:cs="Minion Pro"/>
          <w:b/>
          <w:bCs/>
          <w:color w:val="337AB7"/>
          <w:sz w:val="36"/>
          <w:szCs w:val="36"/>
          <w:lang w:val="da-DK"/>
        </w:rPr>
        <w:t xml:space="preserve">The </w:t>
      </w:r>
      <w:proofErr w:type="spellStart"/>
      <w:r w:rsidRPr="00016B08">
        <w:rPr>
          <w:rFonts w:ascii="Minion Pro" w:eastAsia="Minion Pro" w:hAnsi="Minion Pro" w:cs="Minion Pro"/>
          <w:b/>
          <w:bCs/>
          <w:color w:val="337AB7"/>
          <w:sz w:val="36"/>
          <w:szCs w:val="36"/>
          <w:lang w:val="da-DK"/>
        </w:rPr>
        <w:t>Bicipital</w:t>
      </w:r>
      <w:proofErr w:type="spellEnd"/>
      <w:r w:rsidRPr="00016B08">
        <w:rPr>
          <w:rFonts w:ascii="Minion Pro" w:eastAsia="Minion Pro" w:hAnsi="Minion Pro" w:cs="Minion Pro"/>
          <w:b/>
          <w:bCs/>
          <w:color w:val="337AB7"/>
          <w:sz w:val="36"/>
          <w:szCs w:val="36"/>
          <w:lang w:val="da-DK"/>
        </w:rPr>
        <w:t xml:space="preserve"> Stress Test: </w:t>
      </w:r>
      <w:r w:rsidR="00E82484" w:rsidRPr="00016B08">
        <w:rPr>
          <w:rFonts w:ascii="Minion Pro" w:eastAsia="Minion Pro" w:hAnsi="Minion Pro" w:cs="Minion Pro"/>
          <w:b/>
          <w:bCs/>
          <w:color w:val="337AB7"/>
          <w:sz w:val="36"/>
          <w:szCs w:val="36"/>
          <w:lang w:val="da-DK"/>
        </w:rPr>
        <w:t xml:space="preserve">A </w:t>
      </w:r>
      <w:proofErr w:type="spellStart"/>
      <w:r w:rsidR="00E82484" w:rsidRPr="00016B08">
        <w:rPr>
          <w:rFonts w:ascii="Minion Pro" w:eastAsia="Minion Pro" w:hAnsi="Minion Pro" w:cs="Minion Pro"/>
          <w:b/>
          <w:bCs/>
          <w:color w:val="337AB7"/>
          <w:sz w:val="36"/>
          <w:szCs w:val="36"/>
          <w:lang w:val="da-DK"/>
        </w:rPr>
        <w:t>Maneuver</w:t>
      </w:r>
      <w:proofErr w:type="spellEnd"/>
      <w:r w:rsidR="00E82484" w:rsidRPr="00016B08">
        <w:rPr>
          <w:rFonts w:ascii="Minion Pro" w:eastAsia="Minion Pro" w:hAnsi="Minion Pro" w:cs="Minion Pro"/>
          <w:b/>
          <w:bCs/>
          <w:color w:val="337AB7"/>
          <w:sz w:val="36"/>
          <w:szCs w:val="36"/>
          <w:lang w:val="da-DK"/>
        </w:rPr>
        <w:t xml:space="preserve"> to More </w:t>
      </w:r>
      <w:proofErr w:type="spellStart"/>
      <w:r w:rsidR="00E82484" w:rsidRPr="00016B08">
        <w:rPr>
          <w:rFonts w:ascii="Minion Pro" w:eastAsia="Minion Pro" w:hAnsi="Minion Pro" w:cs="Minion Pro"/>
          <w:b/>
          <w:bCs/>
          <w:color w:val="337AB7"/>
          <w:sz w:val="36"/>
          <w:szCs w:val="36"/>
          <w:lang w:val="da-DK"/>
        </w:rPr>
        <w:t>Accurately</w:t>
      </w:r>
      <w:proofErr w:type="spellEnd"/>
      <w:r w:rsidR="00E82484" w:rsidRPr="00016B08">
        <w:rPr>
          <w:rFonts w:ascii="Minion Pro" w:eastAsia="Minion Pro" w:hAnsi="Minion Pro" w:cs="Minion Pro"/>
          <w:b/>
          <w:bCs/>
          <w:color w:val="337AB7"/>
          <w:sz w:val="36"/>
          <w:szCs w:val="36"/>
          <w:lang w:val="da-DK"/>
        </w:rPr>
        <w:t xml:space="preserve"> Diagnose </w:t>
      </w:r>
      <w:proofErr w:type="spellStart"/>
      <w:r w:rsidR="00E82484" w:rsidRPr="00016B08">
        <w:rPr>
          <w:rFonts w:ascii="Minion Pro" w:eastAsia="Minion Pro" w:hAnsi="Minion Pro" w:cs="Minion Pro"/>
          <w:b/>
          <w:bCs/>
          <w:color w:val="337AB7"/>
          <w:sz w:val="36"/>
          <w:szCs w:val="36"/>
          <w:lang w:val="da-DK"/>
        </w:rPr>
        <w:t>Bicipital</w:t>
      </w:r>
      <w:proofErr w:type="spellEnd"/>
      <w:r w:rsidR="00E82484" w:rsidRPr="00016B08">
        <w:rPr>
          <w:rFonts w:ascii="Minion Pro" w:eastAsia="Minion Pro" w:hAnsi="Minion Pro" w:cs="Minion Pro"/>
          <w:b/>
          <w:bCs/>
          <w:color w:val="337AB7"/>
          <w:sz w:val="36"/>
          <w:szCs w:val="36"/>
          <w:lang w:val="da-DK"/>
        </w:rPr>
        <w:t xml:space="preserve"> </w:t>
      </w:r>
      <w:proofErr w:type="spellStart"/>
      <w:r w:rsidR="00E82484" w:rsidRPr="00016B08">
        <w:rPr>
          <w:rFonts w:ascii="Minion Pro" w:eastAsia="Minion Pro" w:hAnsi="Minion Pro" w:cs="Minion Pro"/>
          <w:b/>
          <w:bCs/>
          <w:color w:val="337AB7"/>
          <w:sz w:val="36"/>
          <w:szCs w:val="36"/>
          <w:lang w:val="da-DK"/>
        </w:rPr>
        <w:t>Tendinitis</w:t>
      </w:r>
      <w:proofErr w:type="spellEnd"/>
      <w:r w:rsidR="00E82484" w:rsidRPr="00016B08">
        <w:rPr>
          <w:rFonts w:ascii="Minion Pro" w:eastAsia="Minion Pro" w:hAnsi="Minion Pro" w:cs="Minion Pro"/>
          <w:b/>
          <w:bCs/>
          <w:color w:val="337AB7"/>
          <w:sz w:val="36"/>
          <w:szCs w:val="36"/>
          <w:lang w:val="da-DK"/>
        </w:rPr>
        <w:t xml:space="preserve"> and </w:t>
      </w:r>
      <w:proofErr w:type="spellStart"/>
      <w:r w:rsidR="00E82484" w:rsidRPr="00016B08">
        <w:rPr>
          <w:rFonts w:ascii="Minion Pro" w:eastAsia="Minion Pro" w:hAnsi="Minion Pro" w:cs="Minion Pro"/>
          <w:b/>
          <w:bCs/>
          <w:color w:val="337AB7"/>
          <w:sz w:val="36"/>
          <w:szCs w:val="36"/>
          <w:lang w:val="da-DK"/>
        </w:rPr>
        <w:t>its</w:t>
      </w:r>
      <w:proofErr w:type="spellEnd"/>
      <w:r w:rsidR="00E82484" w:rsidRPr="00016B08">
        <w:rPr>
          <w:rFonts w:ascii="Minion Pro" w:eastAsia="Minion Pro" w:hAnsi="Minion Pro" w:cs="Minion Pro"/>
          <w:b/>
          <w:bCs/>
          <w:color w:val="337AB7"/>
          <w:sz w:val="36"/>
          <w:szCs w:val="36"/>
          <w:lang w:val="da-DK"/>
        </w:rPr>
        <w:t xml:space="preserve"> Referred </w:t>
      </w:r>
      <w:proofErr w:type="spellStart"/>
      <w:r w:rsidR="00E82484" w:rsidRPr="00016B08">
        <w:rPr>
          <w:rFonts w:ascii="Minion Pro" w:eastAsia="Minion Pro" w:hAnsi="Minion Pro" w:cs="Minion Pro"/>
          <w:b/>
          <w:bCs/>
          <w:color w:val="337AB7"/>
          <w:sz w:val="36"/>
          <w:szCs w:val="36"/>
          <w:lang w:val="da-DK"/>
        </w:rPr>
        <w:t>Pain</w:t>
      </w:r>
      <w:proofErr w:type="spellEnd"/>
      <w:r w:rsidR="00E82484" w:rsidRPr="00016B08">
        <w:rPr>
          <w:rFonts w:ascii="Minion Pro" w:eastAsia="Minion Pro" w:hAnsi="Minion Pro" w:cs="Minion Pro"/>
          <w:b/>
          <w:bCs/>
          <w:color w:val="337AB7"/>
          <w:sz w:val="36"/>
          <w:szCs w:val="36"/>
          <w:lang w:val="da-DK"/>
        </w:rPr>
        <w:t xml:space="preserve"> Patterns</w:t>
      </w:r>
    </w:p>
    <w:p w14:paraId="01B7A276" w14:textId="77777777" w:rsidR="00016B08" w:rsidRPr="00016B08" w:rsidRDefault="00016B08" w:rsidP="00016B08">
      <w:pPr>
        <w:pStyle w:val="BodyText"/>
        <w:spacing w:before="73" w:line="198" w:lineRule="exact"/>
        <w:ind w:right="5987"/>
        <w:rPr>
          <w:rFonts w:ascii="Minion Pro" w:eastAsia="Minion Pro" w:hAnsi="Minion Pro" w:cs="Minion Pro"/>
          <w:b/>
          <w:bCs/>
          <w:color w:val="337AB7"/>
          <w:sz w:val="36"/>
          <w:szCs w:val="36"/>
        </w:rPr>
      </w:pPr>
      <w:r w:rsidRPr="00016B08">
        <w:rPr>
          <w:rFonts w:ascii="Minion Pro" w:eastAsia="Minion Pro" w:hAnsi="Minion Pro" w:cs="Minion Pro"/>
          <w:b/>
          <w:bCs/>
          <w:color w:val="337AB7"/>
          <w:sz w:val="36"/>
          <w:szCs w:val="36"/>
          <w:lang w:val="da-DK"/>
        </w:rPr>
        <w:tab/>
      </w:r>
      <w:r w:rsidRPr="00016B08">
        <w:rPr>
          <w:rFonts w:ascii="Minion Pro" w:eastAsia="Minion Pro" w:hAnsi="Minion Pro" w:cs="Minion Pro"/>
          <w:b/>
          <w:bCs/>
          <w:color w:val="337AB7"/>
          <w:sz w:val="36"/>
          <w:szCs w:val="36"/>
          <w:lang w:val="da-DK"/>
        </w:rPr>
        <w:tab/>
      </w:r>
      <w:r w:rsidRPr="00016B08">
        <w:rPr>
          <w:rFonts w:ascii="Minion Pro" w:eastAsia="Minion Pro" w:hAnsi="Minion Pro" w:cs="Minion Pro"/>
          <w:b/>
          <w:bCs/>
          <w:color w:val="337AB7"/>
          <w:sz w:val="36"/>
          <w:szCs w:val="36"/>
          <w:lang w:val="da-DK"/>
        </w:rPr>
        <w:tab/>
        <w:t xml:space="preserve"> </w:t>
      </w:r>
    </w:p>
    <w:p w14:paraId="73FFF87A" w14:textId="7016F7B6" w:rsidR="0078738A" w:rsidRDefault="005D3653" w:rsidP="00016B08">
      <w:pPr>
        <w:pStyle w:val="BodyText"/>
        <w:spacing w:before="73" w:line="198" w:lineRule="exact"/>
        <w:ind w:right="5987"/>
        <w:rPr>
          <w:rFonts w:ascii="Arial"/>
        </w:rPr>
      </w:pPr>
      <w:r w:rsidRPr="00DB6DF7">
        <w:rPr>
          <w:rFonts w:ascii="Arial" w:hAnsi="Arial" w:cs="Arial"/>
        </w:rPr>
        <w:t xml:space="preserve">Meredith E. </w:t>
      </w:r>
      <w:proofErr w:type="spellStart"/>
      <w:r w:rsidRPr="00DB6DF7">
        <w:rPr>
          <w:rFonts w:ascii="Arial" w:hAnsi="Arial" w:cs="Arial"/>
        </w:rPr>
        <w:t>Thomley</w:t>
      </w:r>
      <w:proofErr w:type="spellEnd"/>
      <w:r>
        <w:rPr>
          <w:rFonts w:ascii="Arial" w:hAnsi="Arial" w:cs="Arial"/>
        </w:rPr>
        <w:t>,</w:t>
      </w:r>
      <w:r w:rsidRPr="00DB6DF7">
        <w:rPr>
          <w:rFonts w:ascii="Arial" w:hAnsi="Arial" w:cs="Arial"/>
        </w:rPr>
        <w:t xml:space="preserve"> </w:t>
      </w:r>
      <w:r w:rsidRPr="005D3653">
        <w:rPr>
          <w:rFonts w:ascii="Arial"/>
        </w:rPr>
        <w:t>B.S., Medical Student, the University of Alabama at Birmingham</w:t>
      </w:r>
    </w:p>
    <w:p w14:paraId="2E401D73" w14:textId="16527BEA" w:rsidR="00AE3E37" w:rsidRPr="00E82484" w:rsidRDefault="005D3653" w:rsidP="00E82484">
      <w:pPr>
        <w:pStyle w:val="BodyText"/>
        <w:spacing w:before="73" w:line="198" w:lineRule="exact"/>
        <w:ind w:right="5987"/>
        <w:rPr>
          <w:rFonts w:ascii="Arial"/>
        </w:rPr>
      </w:pPr>
      <w:r>
        <w:rPr>
          <w:rFonts w:ascii="Arial" w:hAnsi="Arial" w:cs="Arial"/>
        </w:rPr>
        <w:t xml:space="preserve">Dr. </w:t>
      </w:r>
      <w:r w:rsidRPr="00DB6DF7">
        <w:rPr>
          <w:rFonts w:ascii="Arial" w:hAnsi="Arial" w:cs="Arial"/>
        </w:rPr>
        <w:t>David M. Spalding</w:t>
      </w:r>
      <w:r>
        <w:rPr>
          <w:rFonts w:ascii="Arial" w:hAnsi="Arial" w:cs="Arial"/>
        </w:rPr>
        <w:t>,</w:t>
      </w:r>
      <w:r w:rsidRPr="00DB6DF7">
        <w:rPr>
          <w:rFonts w:ascii="Arial" w:hAnsi="Arial" w:cs="Arial"/>
        </w:rPr>
        <w:t xml:space="preserve"> </w:t>
      </w:r>
      <w:r w:rsidRPr="005D3653">
        <w:rPr>
          <w:rFonts w:ascii="Arial"/>
        </w:rPr>
        <w:t>M.D., Associate, Division of Clinical Immunology and Rheumatology, the University of Alabama at Birmingham</w:t>
      </w:r>
    </w:p>
    <w:p w14:paraId="6CB6836A" w14:textId="77777777" w:rsidR="00AE3E37" w:rsidRDefault="00AE3E37">
      <w:pPr>
        <w:pStyle w:val="BodyText"/>
        <w:spacing w:before="3"/>
        <w:rPr>
          <w:rFonts w:ascii="Arial"/>
          <w:sz w:val="21"/>
        </w:rPr>
      </w:pPr>
    </w:p>
    <w:p w14:paraId="30DC7404"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45B96B2" w14:textId="0ADAE4FB" w:rsidR="00AE3E37" w:rsidRDefault="00A9710C">
      <w:pPr>
        <w:pStyle w:val="Heading3"/>
        <w:spacing w:before="147"/>
        <w:jc w:val="both"/>
      </w:pPr>
      <w:r>
        <w:rPr>
          <w:color w:val="BF5A14"/>
        </w:rPr>
        <w:t>Abstract</w:t>
      </w:r>
      <w:r w:rsidR="00404E5B">
        <w:rPr>
          <w:color w:val="BF5A14"/>
        </w:rPr>
        <w:t xml:space="preserve"> </w:t>
      </w:r>
    </w:p>
    <w:p w14:paraId="18B0EAF5" w14:textId="407E7024" w:rsidR="00AE3E37" w:rsidRDefault="00A9710C" w:rsidP="003A20AA">
      <w:pPr>
        <w:pStyle w:val="BodyText"/>
        <w:spacing w:before="90" w:line="276" w:lineRule="auto"/>
        <w:ind w:left="100"/>
        <w:jc w:val="both"/>
      </w:pPr>
      <w:r w:rsidRPr="00D565A2">
        <w:rPr>
          <w:b/>
          <w:bCs/>
        </w:rPr>
        <w:t>Statement of the Problem:</w:t>
      </w:r>
      <w:r w:rsidRPr="001505E4">
        <w:t xml:space="preserve"> </w:t>
      </w:r>
      <w:r w:rsidR="001505E4" w:rsidRPr="001505E4">
        <w:t xml:space="preserve">Inflammation of the bicipital tendon contributes heavily to shoulder joint morbidity. To date, diagnosis of bicipital tendinitis has relied on physical exam findings, particularly </w:t>
      </w:r>
      <w:proofErr w:type="spellStart"/>
      <w:r w:rsidR="001505E4" w:rsidRPr="001505E4">
        <w:t>Yergason’s</w:t>
      </w:r>
      <w:proofErr w:type="spellEnd"/>
      <w:r w:rsidR="001505E4" w:rsidRPr="001505E4">
        <w:t xml:space="preserve"> sign and the Speed’s test (ST). These tests have fallen out of fervent use due to their relative insensitivity. In this study, we introduce a novel diagnostic paradigm, the Bicipital Stress Test (BST), with improved sensitivity in comparison to previously standard tests.</w:t>
      </w:r>
      <w:r w:rsidR="001505E4" w:rsidRPr="001505E4">
        <w:rPr>
          <w:b/>
          <w:bCs/>
        </w:rPr>
        <w:t xml:space="preserve"> </w:t>
      </w:r>
      <w:r w:rsidRPr="00D565A2">
        <w:rPr>
          <w:b/>
          <w:bCs/>
        </w:rPr>
        <w:t>Methodolog</w:t>
      </w:r>
      <w:r w:rsidR="0078738A" w:rsidRPr="00D565A2">
        <w:rPr>
          <w:b/>
          <w:bCs/>
        </w:rPr>
        <w:t>y &amp; Theoretical Orientation:</w:t>
      </w:r>
      <w:r w:rsidR="0078738A" w:rsidRPr="001505E4">
        <w:t xml:space="preserve"> </w:t>
      </w:r>
      <w:r w:rsidR="001505E4" w:rsidRPr="001505E4">
        <w:t xml:space="preserve">This retrospective cohort study reviewed 151 patients over a six-month period. Patients were included who presented with upper body pain and whose exam demonstrated a positive ST and/or BST. Given a positive test, a treatment paradigm </w:t>
      </w:r>
      <w:r w:rsidR="00E15662">
        <w:t>of 40-</w:t>
      </w:r>
      <w:r w:rsidR="00E15662" w:rsidRPr="00E15662">
        <w:t xml:space="preserve">60 mg </w:t>
      </w:r>
      <w:proofErr w:type="spellStart"/>
      <w:r w:rsidR="00E15662" w:rsidRPr="00E15662">
        <w:t>depomedrol</w:t>
      </w:r>
      <w:proofErr w:type="spellEnd"/>
      <w:r w:rsidR="00E15662" w:rsidRPr="00E15662">
        <w:t>, 1.0 cc  bupivacaine hydrochloride, and 0.5cc lidocaine</w:t>
      </w:r>
      <w:r w:rsidR="00E15662">
        <w:t xml:space="preserve"> </w:t>
      </w:r>
      <w:r w:rsidR="001505E4" w:rsidRPr="001505E4">
        <w:t>was utilized</w:t>
      </w:r>
      <w:r w:rsidR="00E15662">
        <w:t>. P</w:t>
      </w:r>
      <w:r w:rsidR="001505E4" w:rsidRPr="001505E4">
        <w:t xml:space="preserve">atients were reevaluated at four to six-week intervals for clinical improvement. </w:t>
      </w:r>
      <w:r w:rsidRPr="00D565A2">
        <w:rPr>
          <w:b/>
          <w:bCs/>
        </w:rPr>
        <w:t>Findings:</w:t>
      </w:r>
      <w:r w:rsidRPr="001505E4">
        <w:t xml:space="preserve"> </w:t>
      </w:r>
      <w:r w:rsidR="001505E4" w:rsidRPr="001505E4">
        <w:t>The BST identified 248 positive upper extremities versus 71 for the traditional ST test. In every case that the ST test was positive, the BST was also positive.</w:t>
      </w:r>
      <w:r w:rsidRPr="001505E4">
        <w:t xml:space="preserve"> </w:t>
      </w:r>
      <w:r w:rsidR="002D79F6" w:rsidRPr="002D79F6">
        <w:t xml:space="preserve">Of the 151 patients, </w:t>
      </w:r>
      <w:r w:rsidR="00C326B0">
        <w:t>80% reported complete resolution of symptoms: 32% after one treatment, 38% after two, 10% after three. 3% reported partial resolution</w:t>
      </w:r>
      <w:r w:rsidR="00921946">
        <w:t>,</w:t>
      </w:r>
      <w:r w:rsidR="00C326B0">
        <w:t xml:space="preserve"> and the remainder of patients were lost to follow up. Additionally, </w:t>
      </w:r>
      <w:r w:rsidR="002D79F6" w:rsidRPr="002D79F6">
        <w:t xml:space="preserve">64% </w:t>
      </w:r>
      <w:r w:rsidR="002D79F6">
        <w:t xml:space="preserve">of patients </w:t>
      </w:r>
      <w:r w:rsidR="002D79F6" w:rsidRPr="002D79F6">
        <w:t>reported sites other than the shoulder as their initial site of pain.</w:t>
      </w:r>
      <w:r w:rsidR="002D79F6">
        <w:t xml:space="preserve"> </w:t>
      </w:r>
      <w:r w:rsidRPr="00D565A2">
        <w:rPr>
          <w:b/>
          <w:bCs/>
        </w:rPr>
        <w:t>Conclusion &amp; Significance:</w:t>
      </w:r>
      <w:r w:rsidRPr="001505E4">
        <w:t xml:space="preserve"> </w:t>
      </w:r>
      <w:r w:rsidR="001505E4" w:rsidRPr="001505E4">
        <w:t xml:space="preserve">Physical examination techniques of the upper extremity have been described but are infrequently utilized in clinical practice; this is due to the relative insensitivity of the most well-known tests for bicipital tendinitis, </w:t>
      </w:r>
      <w:proofErr w:type="spellStart"/>
      <w:r w:rsidR="001505E4" w:rsidRPr="001505E4">
        <w:t>Yergason’s</w:t>
      </w:r>
      <w:proofErr w:type="spellEnd"/>
      <w:r w:rsidR="001505E4" w:rsidRPr="001505E4">
        <w:t xml:space="preserve"> sign (43%) and the ST (32%). The BST is a more sensitive test in diagnosing bicipital tendinitis. The clinical validity of the BST is supported by normalization of the physical exam and improvement in symptomatology following treatment of a positive test. Implementation of the BST yields early detection, accurate diagnosis, and successful treatment of bicipital tendinitis and its referred pain patterns.</w:t>
      </w:r>
    </w:p>
    <w:p w14:paraId="563266A2" w14:textId="7FB3BC4C" w:rsidR="00AE3E37" w:rsidRDefault="00E82484" w:rsidP="00C1497F">
      <w:pPr>
        <w:pStyle w:val="Heading3"/>
        <w:spacing w:before="74"/>
        <w:ind w:left="2160" w:firstLine="720"/>
      </w:pPr>
      <w:r>
        <w:rPr>
          <w:rFonts w:ascii="Calibri"/>
          <w:noProof/>
          <w:sz w:val="4"/>
          <w:lang w:val="en-IN" w:eastAsia="en-IN"/>
        </w:rPr>
        <mc:AlternateContent>
          <mc:Choice Requires="wpg">
            <w:drawing>
              <wp:inline distT="0" distB="0" distL="0" distR="0" wp14:anchorId="321BB156" wp14:editId="67A94DD7">
                <wp:extent cx="3443080" cy="211483"/>
                <wp:effectExtent l="0" t="0" r="1143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43080" cy="211483"/>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961195" id="Group 4" o:spid="_x0000_s1026" style="width:271.1pt;height:16.65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3B73930" w14:textId="4F6A0F34" w:rsidR="00686CE8" w:rsidRPr="00686CE8" w:rsidRDefault="003A20AA" w:rsidP="003A20AA">
      <w:pPr>
        <w:pStyle w:val="BodyText"/>
        <w:spacing w:before="2"/>
        <w:jc w:val="both"/>
        <w:rPr>
          <w:b/>
          <w:color w:val="BF5A14"/>
          <w:sz w:val="20"/>
        </w:rPr>
      </w:pPr>
      <w:r>
        <w:rPr>
          <w:bCs/>
          <w:color w:val="BF5A14"/>
          <w:sz w:val="16"/>
          <w:szCs w:val="16"/>
        </w:rPr>
        <w:t xml:space="preserve">        </w:t>
      </w:r>
      <w:r w:rsidR="005D3653">
        <w:rPr>
          <w:rFonts w:ascii="Arial"/>
          <w:b/>
          <w:noProof/>
          <w:sz w:val="16"/>
        </w:rPr>
        <w:drawing>
          <wp:inline distT="0" distB="0" distL="0" distR="0" wp14:anchorId="17880F0F" wp14:editId="75728E6A">
            <wp:extent cx="2974568" cy="1512047"/>
            <wp:effectExtent l="0" t="0" r="0" b="0"/>
            <wp:docPr id="2" name="Picture 2" descr="A person standing in front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ST Photos.png"/>
                    <pic:cNvPicPr/>
                  </pic:nvPicPr>
                  <pic:blipFill>
                    <a:blip r:embed="rId9" cstate="screen">
                      <a:extLst>
                        <a:ext uri="{28A0092B-C50C-407E-A947-70E740481C1C}">
                          <a14:useLocalDpi xmlns:a14="http://schemas.microsoft.com/office/drawing/2010/main"/>
                        </a:ext>
                      </a:extLst>
                    </a:blip>
                    <a:stretch>
                      <a:fillRect/>
                    </a:stretch>
                  </pic:blipFill>
                  <pic:spPr>
                    <a:xfrm>
                      <a:off x="0" y="0"/>
                      <a:ext cx="2982446" cy="1516051"/>
                    </a:xfrm>
                    <a:prstGeom prst="rect">
                      <a:avLst/>
                    </a:prstGeom>
                  </pic:spPr>
                </pic:pic>
              </a:graphicData>
            </a:graphic>
          </wp:inline>
        </w:drawing>
      </w:r>
      <w:r w:rsidR="005973B9">
        <w:rPr>
          <w:rFonts w:ascii="Arial"/>
          <w:b/>
          <w:color w:val="BF5A14"/>
          <w:sz w:val="20"/>
        </w:rPr>
        <w:br/>
      </w:r>
      <w:r w:rsidR="00686CE8" w:rsidRPr="00686CE8">
        <w:rPr>
          <w:bCs/>
          <w:color w:val="BF5A14"/>
          <w:sz w:val="16"/>
          <w:szCs w:val="16"/>
        </w:rPr>
        <w:t>Image 1: BST was performed as depicted in Figure 1:  the clinician faces the seated patient with the shoulder forward flexed to 120 degrees and abducted to 30 degrees while the arm is in supinated position. The examiner then places direct downward force at the wrist. Inability to maintain position against forceful downward pressure is the key that determines a positive test.</w:t>
      </w:r>
    </w:p>
    <w:p w14:paraId="1D352C0B" w14:textId="77777777" w:rsidR="00686CE8" w:rsidRDefault="00686CE8" w:rsidP="00DB65AB">
      <w:pPr>
        <w:pStyle w:val="BodyText"/>
        <w:spacing w:before="2"/>
        <w:rPr>
          <w:rFonts w:ascii="Arial"/>
          <w:b/>
          <w:color w:val="BF5A14"/>
          <w:sz w:val="20"/>
        </w:rPr>
      </w:pPr>
    </w:p>
    <w:p w14:paraId="7AD344F9" w14:textId="2719A0A9" w:rsidR="005973B9" w:rsidRPr="00DB65AB" w:rsidRDefault="005973B9" w:rsidP="00DB65AB">
      <w:pPr>
        <w:pStyle w:val="BodyText"/>
        <w:spacing w:before="2"/>
        <w:rPr>
          <w:rFonts w:ascii="Arial"/>
          <w:b/>
          <w:sz w:val="16"/>
        </w:rPr>
      </w:pPr>
      <w:r>
        <w:rPr>
          <w:rFonts w:ascii="Arial"/>
          <w:b/>
          <w:color w:val="BF5A14"/>
          <w:sz w:val="20"/>
        </w:rPr>
        <w:t xml:space="preserve">Recent Publications </w:t>
      </w:r>
    </w:p>
    <w:p w14:paraId="063ECF2D" w14:textId="77777777" w:rsidR="00DB65AB" w:rsidRPr="00DB65AB" w:rsidRDefault="00DB65AB" w:rsidP="003A20AA">
      <w:pPr>
        <w:pStyle w:val="ListParagraph"/>
        <w:numPr>
          <w:ilvl w:val="0"/>
          <w:numId w:val="3"/>
        </w:numPr>
        <w:tabs>
          <w:tab w:val="left" w:pos="384"/>
        </w:tabs>
        <w:spacing w:before="0" w:line="240" w:lineRule="auto"/>
        <w:rPr>
          <w:sz w:val="16"/>
          <w:szCs w:val="16"/>
        </w:rPr>
      </w:pPr>
      <w:proofErr w:type="spellStart"/>
      <w:r w:rsidRPr="00DB65AB">
        <w:rPr>
          <w:sz w:val="16"/>
          <w:szCs w:val="16"/>
        </w:rPr>
        <w:t>Carr</w:t>
      </w:r>
      <w:proofErr w:type="spellEnd"/>
      <w:r w:rsidRPr="00DB65AB">
        <w:rPr>
          <w:sz w:val="16"/>
          <w:szCs w:val="16"/>
        </w:rPr>
        <w:t xml:space="preserve">, R. M., </w:t>
      </w:r>
      <w:proofErr w:type="spellStart"/>
      <w:r w:rsidRPr="00DB65AB">
        <w:rPr>
          <w:sz w:val="16"/>
          <w:szCs w:val="16"/>
        </w:rPr>
        <w:t>Shishani</w:t>
      </w:r>
      <w:proofErr w:type="spellEnd"/>
      <w:r w:rsidRPr="00DB65AB">
        <w:rPr>
          <w:sz w:val="16"/>
          <w:szCs w:val="16"/>
        </w:rPr>
        <w:t xml:space="preserve">, Y., &amp; </w:t>
      </w:r>
      <w:proofErr w:type="spellStart"/>
      <w:r w:rsidRPr="00DB65AB">
        <w:rPr>
          <w:sz w:val="16"/>
          <w:szCs w:val="16"/>
        </w:rPr>
        <w:t>Gobezie</w:t>
      </w:r>
      <w:proofErr w:type="spellEnd"/>
      <w:r w:rsidRPr="00DB65AB">
        <w:rPr>
          <w:sz w:val="16"/>
          <w:szCs w:val="16"/>
        </w:rPr>
        <w:t>, R. (2016). How Accurate Are We in Detecting Biceps Tendinopathy? Clinics in Sports Medicine, 35(1), 47–55. Retrieved November 7, 2019, from 10.1016/j.csm.2015.08.002</w:t>
      </w:r>
    </w:p>
    <w:p w14:paraId="329EB1F0" w14:textId="20BE8BD2" w:rsidR="00DB65AB" w:rsidRPr="00DB65AB" w:rsidRDefault="00DB65AB" w:rsidP="003A20AA">
      <w:pPr>
        <w:pStyle w:val="ListParagraph"/>
        <w:numPr>
          <w:ilvl w:val="0"/>
          <w:numId w:val="3"/>
        </w:numPr>
        <w:tabs>
          <w:tab w:val="left" w:pos="384"/>
        </w:tabs>
        <w:spacing w:before="0" w:line="240" w:lineRule="auto"/>
        <w:rPr>
          <w:sz w:val="16"/>
          <w:szCs w:val="16"/>
        </w:rPr>
      </w:pPr>
      <w:r w:rsidRPr="00DB65AB">
        <w:rPr>
          <w:sz w:val="16"/>
          <w:szCs w:val="16"/>
        </w:rPr>
        <w:t xml:space="preserve">Jain, N. B., Luz, J., Higgins, L. D., Dong, Y., Warner, J. J. P., </w:t>
      </w:r>
      <w:proofErr w:type="spellStart"/>
      <w:r w:rsidRPr="00DB65AB">
        <w:rPr>
          <w:sz w:val="16"/>
          <w:szCs w:val="16"/>
        </w:rPr>
        <w:t>Matzkin</w:t>
      </w:r>
      <w:proofErr w:type="spellEnd"/>
      <w:r w:rsidRPr="00DB65AB">
        <w:rPr>
          <w:sz w:val="16"/>
          <w:szCs w:val="16"/>
        </w:rPr>
        <w:t>, E., &amp; Katz, J. N. (2017). The Diagnostic Accuracy of Special Tests for Rotator Cuff Tear. American Journal of Physical Medicine &amp; Rehabilitation, 96(3), 176–183. Retrieved November 7, 2019, from 10.1097/PHM.0000000000000566</w:t>
      </w:r>
    </w:p>
    <w:p w14:paraId="4906BED8" w14:textId="2668DAF7" w:rsidR="00DB65AB" w:rsidRPr="00DB65AB" w:rsidRDefault="00DB65AB" w:rsidP="003A20AA">
      <w:pPr>
        <w:pStyle w:val="BodyText"/>
        <w:numPr>
          <w:ilvl w:val="0"/>
          <w:numId w:val="3"/>
        </w:numPr>
        <w:ind w:right="138"/>
        <w:jc w:val="both"/>
        <w:rPr>
          <w:rFonts w:ascii="Calibri" w:hAnsi="Calibri"/>
          <w:sz w:val="16"/>
          <w:szCs w:val="16"/>
        </w:rPr>
      </w:pPr>
      <w:r w:rsidRPr="00DB65AB">
        <w:rPr>
          <w:rFonts w:ascii="Calibri" w:hAnsi="Calibri"/>
          <w:sz w:val="16"/>
          <w:szCs w:val="16"/>
        </w:rPr>
        <w:t xml:space="preserve">Raney, E. B., </w:t>
      </w:r>
      <w:proofErr w:type="spellStart"/>
      <w:r w:rsidRPr="00DB65AB">
        <w:rPr>
          <w:rFonts w:ascii="Calibri" w:hAnsi="Calibri"/>
          <w:sz w:val="16"/>
          <w:szCs w:val="16"/>
        </w:rPr>
        <w:t>Thankam</w:t>
      </w:r>
      <w:proofErr w:type="spellEnd"/>
      <w:r w:rsidRPr="00DB65AB">
        <w:rPr>
          <w:rFonts w:ascii="Calibri" w:hAnsi="Calibri"/>
          <w:sz w:val="16"/>
          <w:szCs w:val="16"/>
        </w:rPr>
        <w:t xml:space="preserve">, F. G., </w:t>
      </w:r>
      <w:proofErr w:type="spellStart"/>
      <w:r w:rsidRPr="00DB65AB">
        <w:rPr>
          <w:rFonts w:ascii="Calibri" w:hAnsi="Calibri"/>
          <w:sz w:val="16"/>
          <w:szCs w:val="16"/>
        </w:rPr>
        <w:t>Dilisio</w:t>
      </w:r>
      <w:proofErr w:type="spellEnd"/>
      <w:r w:rsidRPr="00DB65AB">
        <w:rPr>
          <w:rFonts w:ascii="Calibri" w:hAnsi="Calibri"/>
          <w:sz w:val="16"/>
          <w:szCs w:val="16"/>
        </w:rPr>
        <w:t>, M. F., &amp; Agrawal, D. K. (2017). Pain and the pathogenesis of biceps tendinopathy. </w:t>
      </w:r>
      <w:r w:rsidRPr="00DB65AB">
        <w:rPr>
          <w:rFonts w:ascii="Calibri" w:hAnsi="Calibri"/>
          <w:i/>
          <w:iCs/>
          <w:sz w:val="16"/>
          <w:szCs w:val="16"/>
        </w:rPr>
        <w:t>American journal of translational research</w:t>
      </w:r>
      <w:r w:rsidRPr="00DB65AB">
        <w:rPr>
          <w:rFonts w:ascii="Calibri" w:hAnsi="Calibri"/>
          <w:sz w:val="16"/>
          <w:szCs w:val="16"/>
        </w:rPr>
        <w:t>, </w:t>
      </w:r>
      <w:r w:rsidRPr="00DB65AB">
        <w:rPr>
          <w:rFonts w:ascii="Calibri" w:hAnsi="Calibri"/>
          <w:i/>
          <w:iCs/>
          <w:sz w:val="16"/>
          <w:szCs w:val="16"/>
        </w:rPr>
        <w:t>9</w:t>
      </w:r>
      <w:r w:rsidRPr="00DB65AB">
        <w:rPr>
          <w:rFonts w:ascii="Calibri" w:hAnsi="Calibri"/>
          <w:sz w:val="16"/>
          <w:szCs w:val="16"/>
        </w:rPr>
        <w:t>(6), 2668–2683.</w:t>
      </w:r>
    </w:p>
    <w:p w14:paraId="1BFCFD89" w14:textId="77777777" w:rsidR="00DB65AB" w:rsidRPr="00DB65AB" w:rsidRDefault="00DB65AB" w:rsidP="003A20AA">
      <w:pPr>
        <w:pStyle w:val="ListParagraph"/>
        <w:numPr>
          <w:ilvl w:val="0"/>
          <w:numId w:val="3"/>
        </w:numPr>
        <w:tabs>
          <w:tab w:val="left" w:pos="384"/>
        </w:tabs>
        <w:spacing w:before="0" w:line="240" w:lineRule="auto"/>
        <w:rPr>
          <w:sz w:val="16"/>
          <w:szCs w:val="16"/>
        </w:rPr>
      </w:pPr>
      <w:proofErr w:type="spellStart"/>
      <w:r w:rsidRPr="00DB65AB">
        <w:rPr>
          <w:sz w:val="16"/>
          <w:szCs w:val="16"/>
        </w:rPr>
        <w:t>Rol</w:t>
      </w:r>
      <w:proofErr w:type="spellEnd"/>
      <w:r w:rsidRPr="00DB65AB">
        <w:rPr>
          <w:sz w:val="16"/>
          <w:szCs w:val="16"/>
        </w:rPr>
        <w:t xml:space="preserve">, M., </w:t>
      </w:r>
      <w:proofErr w:type="spellStart"/>
      <w:r w:rsidRPr="00DB65AB">
        <w:rPr>
          <w:sz w:val="16"/>
          <w:szCs w:val="16"/>
        </w:rPr>
        <w:t>Favard</w:t>
      </w:r>
      <w:proofErr w:type="spellEnd"/>
      <w:r w:rsidRPr="00DB65AB">
        <w:rPr>
          <w:sz w:val="16"/>
          <w:szCs w:val="16"/>
        </w:rPr>
        <w:t xml:space="preserve">, L., &amp; </w:t>
      </w:r>
      <w:proofErr w:type="spellStart"/>
      <w:r w:rsidRPr="00DB65AB">
        <w:rPr>
          <w:sz w:val="16"/>
          <w:szCs w:val="16"/>
        </w:rPr>
        <w:t>Berhouet</w:t>
      </w:r>
      <w:proofErr w:type="spellEnd"/>
      <w:r w:rsidRPr="00DB65AB">
        <w:rPr>
          <w:sz w:val="16"/>
          <w:szCs w:val="16"/>
        </w:rPr>
        <w:t xml:space="preserve">, J. (2018). Diagnosis of long head of biceps tendinopathy in rotator cuff tear patients: correlation of imaging and arthroscopy data. International </w:t>
      </w:r>
      <w:proofErr w:type="spellStart"/>
      <w:r w:rsidRPr="00DB65AB">
        <w:rPr>
          <w:sz w:val="16"/>
          <w:szCs w:val="16"/>
        </w:rPr>
        <w:t>Orthopaedics</w:t>
      </w:r>
      <w:proofErr w:type="spellEnd"/>
      <w:r w:rsidRPr="00DB65AB">
        <w:rPr>
          <w:sz w:val="16"/>
          <w:szCs w:val="16"/>
        </w:rPr>
        <w:t xml:space="preserve"> (SICOT), 42(6), 1347–1355. Retrieved November 7, 2019, from 10.1007/s00264-017-3616-x </w:t>
      </w:r>
    </w:p>
    <w:p w14:paraId="6ED6EC43" w14:textId="5671A35A" w:rsidR="00AE3E37" w:rsidRPr="00DB65AB" w:rsidRDefault="005973B9" w:rsidP="003A20AA">
      <w:pPr>
        <w:pStyle w:val="BodyText"/>
        <w:ind w:left="383" w:right="138" w:hanging="284"/>
        <w:jc w:val="both"/>
        <w:rPr>
          <w:rFonts w:ascii="Calibri" w:hAnsi="Calibri"/>
          <w:sz w:val="16"/>
          <w:szCs w:val="16"/>
        </w:rPr>
        <w:sectPr w:rsidR="00AE3E37" w:rsidRPr="00DB65AB">
          <w:type w:val="continuous"/>
          <w:pgSz w:w="11910" w:h="16840"/>
          <w:pgMar w:top="1740" w:right="600" w:bottom="840" w:left="620" w:header="720" w:footer="720" w:gutter="0"/>
          <w:cols w:num="2" w:space="720" w:equalWidth="0">
            <w:col w:w="5214" w:space="138"/>
            <w:col w:w="5338"/>
          </w:cols>
        </w:sectPr>
      </w:pPr>
      <w:r w:rsidRPr="00DB65AB">
        <w:rPr>
          <w:rFonts w:ascii="Calibri" w:hAnsi="Calibri"/>
          <w:sz w:val="16"/>
          <w:szCs w:val="16"/>
        </w:rPr>
        <w:t xml:space="preserve">5. </w:t>
      </w:r>
      <w:r w:rsidR="00691FA3">
        <w:rPr>
          <w:rFonts w:ascii="Calibri" w:hAnsi="Calibri"/>
          <w:sz w:val="16"/>
          <w:szCs w:val="16"/>
        </w:rPr>
        <w:tab/>
      </w:r>
      <w:proofErr w:type="spellStart"/>
      <w:r w:rsidR="00DB65AB" w:rsidRPr="00DB65AB">
        <w:rPr>
          <w:rFonts w:ascii="Calibri" w:hAnsi="Calibri"/>
          <w:sz w:val="16"/>
          <w:szCs w:val="16"/>
        </w:rPr>
        <w:t>Shishani</w:t>
      </w:r>
      <w:proofErr w:type="spellEnd"/>
      <w:r w:rsidR="00DB65AB" w:rsidRPr="00DB65AB">
        <w:rPr>
          <w:rFonts w:ascii="Calibri" w:hAnsi="Calibri"/>
          <w:sz w:val="16"/>
          <w:szCs w:val="16"/>
        </w:rPr>
        <w:t xml:space="preserve">, Y., </w:t>
      </w:r>
      <w:proofErr w:type="spellStart"/>
      <w:r w:rsidR="00DB65AB" w:rsidRPr="00DB65AB">
        <w:rPr>
          <w:rFonts w:ascii="Calibri" w:hAnsi="Calibri"/>
          <w:sz w:val="16"/>
          <w:szCs w:val="16"/>
        </w:rPr>
        <w:t>Streit</w:t>
      </w:r>
      <w:proofErr w:type="spellEnd"/>
      <w:r w:rsidR="00DB65AB" w:rsidRPr="00DB65AB">
        <w:rPr>
          <w:rFonts w:ascii="Calibri" w:hAnsi="Calibri"/>
          <w:sz w:val="16"/>
          <w:szCs w:val="16"/>
        </w:rPr>
        <w:t xml:space="preserve">, J., Rodgers, M., &amp; </w:t>
      </w:r>
      <w:proofErr w:type="spellStart"/>
      <w:r w:rsidR="00DB65AB" w:rsidRPr="00DB65AB">
        <w:rPr>
          <w:rFonts w:ascii="Calibri" w:hAnsi="Calibri"/>
          <w:sz w:val="16"/>
          <w:szCs w:val="16"/>
        </w:rPr>
        <w:t>Gobezie</w:t>
      </w:r>
      <w:proofErr w:type="spellEnd"/>
      <w:r w:rsidR="00DB65AB" w:rsidRPr="00DB65AB">
        <w:rPr>
          <w:rFonts w:ascii="Calibri" w:hAnsi="Calibri"/>
          <w:sz w:val="16"/>
          <w:szCs w:val="16"/>
        </w:rPr>
        <w:t xml:space="preserve">, R. (n.d.). Tendinopathy of the long head of the </w:t>
      </w:r>
      <w:proofErr w:type="gramStart"/>
      <w:r w:rsidR="00DB65AB" w:rsidRPr="00DB65AB">
        <w:rPr>
          <w:rFonts w:ascii="Calibri" w:hAnsi="Calibri"/>
          <w:sz w:val="16"/>
          <w:szCs w:val="16"/>
        </w:rPr>
        <w:t>biceps</w:t>
      </w:r>
      <w:proofErr w:type="gramEnd"/>
      <w:r w:rsidR="00DB65AB" w:rsidRPr="00DB65AB">
        <w:rPr>
          <w:rFonts w:ascii="Calibri" w:hAnsi="Calibri"/>
          <w:sz w:val="16"/>
          <w:szCs w:val="16"/>
        </w:rPr>
        <w:t xml:space="preserve"> tendon: histopathologic analysis of the extra-articular biceps tendon and </w:t>
      </w:r>
      <w:proofErr w:type="spellStart"/>
      <w:r w:rsidR="00DB65AB" w:rsidRPr="00DB65AB">
        <w:rPr>
          <w:rFonts w:ascii="Calibri" w:hAnsi="Calibri"/>
          <w:sz w:val="16"/>
          <w:szCs w:val="16"/>
        </w:rPr>
        <w:t>tenosynovium</w:t>
      </w:r>
      <w:proofErr w:type="spellEnd"/>
      <w:r w:rsidR="00DB65AB" w:rsidRPr="00DB65AB">
        <w:rPr>
          <w:rFonts w:ascii="Calibri" w:hAnsi="Calibri"/>
          <w:sz w:val="16"/>
          <w:szCs w:val="16"/>
        </w:rPr>
        <w:t>. OAJSM, 63. Retrieved November 7, 2019, from 10.2147/OAJSM.S76325</w:t>
      </w:r>
    </w:p>
    <w:p w14:paraId="3D3B1F0C" w14:textId="4DE40428" w:rsidR="00AE3E37" w:rsidRPr="00C1497F" w:rsidRDefault="008756E6" w:rsidP="003A20AA">
      <w:pPr>
        <w:pStyle w:val="BodyText"/>
        <w:rPr>
          <w:rFonts w:ascii="Calibri"/>
          <w:b/>
          <w:sz w:val="20"/>
        </w:rPr>
      </w:pPr>
      <w:r>
        <w:rPr>
          <w:noProof/>
        </w:rPr>
        <w:t xml:space="preserve">      </w:t>
      </w:r>
      <w:bookmarkStart w:id="0" w:name="_GoBack"/>
      <w:r w:rsidR="00E15662">
        <w:rPr>
          <w:noProof/>
        </w:rPr>
        <w:drawing>
          <wp:inline distT="0" distB="0" distL="0" distR="0" wp14:anchorId="72CA7303" wp14:editId="372DF7D3">
            <wp:extent cx="576085" cy="768096"/>
            <wp:effectExtent l="12700" t="12700" r="8255" b="6985"/>
            <wp:docPr id="4" name="Picture 4" descr="A person smil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SC_0433.jpeg"/>
                    <pic:cNvPicPr/>
                  </pic:nvPicPr>
                  <pic:blipFill>
                    <a:blip r:embed="rId10" cstate="screen">
                      <a:extLst>
                        <a:ext uri="{28A0092B-C50C-407E-A947-70E740481C1C}">
                          <a14:useLocalDpi xmlns:a14="http://schemas.microsoft.com/office/drawing/2010/main"/>
                        </a:ext>
                      </a:extLst>
                    </a:blip>
                    <a:stretch>
                      <a:fillRect/>
                    </a:stretch>
                  </pic:blipFill>
                  <pic:spPr>
                    <a:xfrm>
                      <a:off x="0" y="0"/>
                      <a:ext cx="576085" cy="768096"/>
                    </a:xfrm>
                    <a:prstGeom prst="rect">
                      <a:avLst/>
                    </a:prstGeom>
                    <a:ln>
                      <a:solidFill>
                        <a:schemeClr val="tx1"/>
                      </a:solidFill>
                    </a:ln>
                  </pic:spPr>
                </pic:pic>
              </a:graphicData>
            </a:graphic>
          </wp:inline>
        </w:drawing>
      </w:r>
      <w:bookmarkEnd w:id="0"/>
      <w:r>
        <w:rPr>
          <w:noProof/>
        </w:rPr>
        <w:t xml:space="preserve">  </w:t>
      </w:r>
      <w:r w:rsidR="00E15662" w:rsidRPr="00E15662">
        <w:rPr>
          <w:noProof/>
        </w:rPr>
        <w:drawing>
          <wp:inline distT="0" distB="0" distL="0" distR="0" wp14:anchorId="28380758" wp14:editId="7A21D2C0">
            <wp:extent cx="569047" cy="764540"/>
            <wp:effectExtent l="12700" t="12700" r="15240" b="10160"/>
            <wp:docPr id="1" name="Picture 1" descr="A person wearing a suit and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screen">
                      <a:extLst>
                        <a:ext uri="{28A0092B-C50C-407E-A947-70E740481C1C}">
                          <a14:useLocalDpi xmlns:a14="http://schemas.microsoft.com/office/drawing/2010/main"/>
                        </a:ext>
                      </a:extLst>
                    </a:blip>
                    <a:srcRect l="-1"/>
                    <a:stretch/>
                  </pic:blipFill>
                  <pic:spPr bwMode="auto">
                    <a:xfrm>
                      <a:off x="0" y="0"/>
                      <a:ext cx="574042" cy="771251"/>
                    </a:xfrm>
                    <a:prstGeom prst="rect">
                      <a:avLst/>
                    </a:prstGeom>
                    <a:ln w="9525" cap="flat" cmpd="sng" algn="ctr">
                      <a:solidFill>
                        <a:schemeClr val="tx1"/>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C1497F">
        <w:rPr>
          <w:noProof/>
        </w:rPr>
        <w:t xml:space="preserve">       </w:t>
      </w:r>
      <w:r w:rsidR="00A9710C">
        <w:rPr>
          <w:rFonts w:ascii="Arial"/>
          <w:color w:val="BF5A14"/>
        </w:rPr>
        <w:t>Biography</w:t>
      </w:r>
    </w:p>
    <w:p w14:paraId="72CB7344" w14:textId="180465B5" w:rsidR="00E82484" w:rsidRDefault="00E15662">
      <w:pPr>
        <w:spacing w:before="41" w:line="154" w:lineRule="exact"/>
        <w:ind w:left="213" w:right="231"/>
        <w:jc w:val="both"/>
        <w:rPr>
          <w:rFonts w:ascii="Arial"/>
          <w:sz w:val="14"/>
        </w:rPr>
      </w:pPr>
      <w:r>
        <w:rPr>
          <w:rFonts w:ascii="Arial"/>
          <w:sz w:val="14"/>
        </w:rPr>
        <w:t xml:space="preserve">Meredith </w:t>
      </w:r>
      <w:proofErr w:type="spellStart"/>
      <w:r>
        <w:rPr>
          <w:rFonts w:ascii="Arial"/>
          <w:sz w:val="14"/>
        </w:rPr>
        <w:t>Thomley</w:t>
      </w:r>
      <w:proofErr w:type="spellEnd"/>
      <w:r>
        <w:rPr>
          <w:rFonts w:ascii="Arial"/>
          <w:sz w:val="14"/>
        </w:rPr>
        <w:t xml:space="preserve"> is a </w:t>
      </w:r>
      <w:r w:rsidR="00E82484">
        <w:rPr>
          <w:rFonts w:ascii="Arial"/>
          <w:sz w:val="14"/>
        </w:rPr>
        <w:t>third</w:t>
      </w:r>
      <w:r w:rsidR="00C1497F">
        <w:rPr>
          <w:rFonts w:ascii="Arial"/>
          <w:sz w:val="14"/>
        </w:rPr>
        <w:t>-</w:t>
      </w:r>
      <w:r w:rsidR="00E82484">
        <w:rPr>
          <w:rFonts w:ascii="Arial"/>
          <w:sz w:val="14"/>
        </w:rPr>
        <w:t xml:space="preserve">year </w:t>
      </w:r>
      <w:r>
        <w:rPr>
          <w:rFonts w:ascii="Arial"/>
          <w:sz w:val="14"/>
        </w:rPr>
        <w:t>medical student at the University of Alabama School of Medicine</w:t>
      </w:r>
      <w:r w:rsidR="00C14DF2">
        <w:rPr>
          <w:rFonts w:ascii="Arial"/>
          <w:sz w:val="14"/>
        </w:rPr>
        <w:t xml:space="preserve">, </w:t>
      </w:r>
      <w:r w:rsidR="007A6591">
        <w:rPr>
          <w:rFonts w:ascii="Arial"/>
          <w:sz w:val="14"/>
        </w:rPr>
        <w:t>interested in academic medicine</w:t>
      </w:r>
      <w:r w:rsidR="00C14DF2">
        <w:rPr>
          <w:rFonts w:ascii="Arial"/>
          <w:sz w:val="14"/>
        </w:rPr>
        <w:t>.</w:t>
      </w:r>
      <w:r>
        <w:rPr>
          <w:rFonts w:ascii="Arial"/>
          <w:sz w:val="14"/>
        </w:rPr>
        <w:t xml:space="preserve"> </w:t>
      </w:r>
      <w:r w:rsidR="00C14DF2">
        <w:rPr>
          <w:rFonts w:ascii="Arial"/>
          <w:sz w:val="14"/>
        </w:rPr>
        <w:t xml:space="preserve">Her </w:t>
      </w:r>
      <w:r w:rsidR="00E82484">
        <w:rPr>
          <w:rFonts w:ascii="Arial"/>
          <w:sz w:val="14"/>
        </w:rPr>
        <w:t xml:space="preserve">published research has primarily been in analyzing dermatologic journal impact through the </w:t>
      </w:r>
      <w:proofErr w:type="spellStart"/>
      <w:r w:rsidR="00E82484">
        <w:rPr>
          <w:rFonts w:ascii="Arial"/>
          <w:sz w:val="14"/>
        </w:rPr>
        <w:t>Altmetric</w:t>
      </w:r>
      <w:proofErr w:type="spellEnd"/>
      <w:r w:rsidR="00E82484">
        <w:rPr>
          <w:rFonts w:ascii="Arial"/>
          <w:sz w:val="14"/>
        </w:rPr>
        <w:t xml:space="preserve"> Attention score, as well as </w:t>
      </w:r>
      <w:r w:rsidR="00C1497F">
        <w:rPr>
          <w:rFonts w:ascii="Arial"/>
          <w:sz w:val="14"/>
        </w:rPr>
        <w:t xml:space="preserve">various ophthalmologic pathologies. She </w:t>
      </w:r>
      <w:r w:rsidR="007A6591">
        <w:rPr>
          <w:rFonts w:ascii="Arial"/>
          <w:sz w:val="14"/>
        </w:rPr>
        <w:t>believes the cornerstone of excellent patient care to be in thorough</w:t>
      </w:r>
      <w:r w:rsidR="00C1497F">
        <w:rPr>
          <w:rFonts w:ascii="Arial"/>
          <w:sz w:val="14"/>
        </w:rPr>
        <w:t xml:space="preserve"> history taking </w:t>
      </w:r>
      <w:r w:rsidR="007A6591">
        <w:rPr>
          <w:rFonts w:ascii="Arial"/>
          <w:sz w:val="14"/>
        </w:rPr>
        <w:t xml:space="preserve">and </w:t>
      </w:r>
      <w:r w:rsidR="00C1497F">
        <w:rPr>
          <w:rFonts w:ascii="Arial"/>
          <w:sz w:val="14"/>
        </w:rPr>
        <w:t>proper physical exam</w:t>
      </w:r>
      <w:r w:rsidR="007A6591">
        <w:rPr>
          <w:rFonts w:ascii="Arial"/>
          <w:sz w:val="14"/>
        </w:rPr>
        <w:t xml:space="preserve"> utilization</w:t>
      </w:r>
      <w:r w:rsidR="00C1497F">
        <w:rPr>
          <w:rFonts w:ascii="Arial"/>
          <w:sz w:val="14"/>
        </w:rPr>
        <w:t xml:space="preserve">. </w:t>
      </w:r>
    </w:p>
    <w:p w14:paraId="2022F3D7" w14:textId="3F80592F"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r</w:t>
      </w:r>
      <w:r w:rsidR="00FE5BE8">
        <w:rPr>
          <w:rFonts w:ascii="Arial"/>
          <w:sz w:val="14"/>
        </w:rPr>
        <w:t>.</w:t>
      </w:r>
      <w:r w:rsidR="0078738A">
        <w:rPr>
          <w:rFonts w:ascii="Arial"/>
          <w:sz w:val="14"/>
        </w:rPr>
        <w:t xml:space="preserve"> </w:t>
      </w:r>
      <w:r w:rsidR="00F642A2">
        <w:rPr>
          <w:rFonts w:ascii="Arial"/>
          <w:sz w:val="14"/>
        </w:rPr>
        <w:t>David Spalding received his Doctor of Medicine at the University of Florida in 1975 and completed residency and fellowship for Rheumatology at the University of Alabama at Birmingham. He has served as a Professor of Immunology and Rheumatology at the University of Alabama Department of Medicine since 2008. His expertise is</w:t>
      </w:r>
      <w:r>
        <w:rPr>
          <w:rFonts w:ascii="Arial"/>
          <w:sz w:val="14"/>
        </w:rPr>
        <w:t xml:space="preserve"> in evaluation</w:t>
      </w:r>
      <w:r w:rsidR="00F642A2">
        <w:rPr>
          <w:rFonts w:ascii="Arial"/>
          <w:sz w:val="14"/>
        </w:rPr>
        <w:t xml:space="preserve"> of rheumatologic and musculoskeletal complaints, working as the Senior Scientist of the Comprehensive Arthritis, Musculoskeletal, Bone and Autoimmunity Center since 2015</w:t>
      </w:r>
      <w:r>
        <w:rPr>
          <w:rFonts w:ascii="Arial"/>
          <w:sz w:val="14"/>
        </w:rPr>
        <w:t>.</w:t>
      </w:r>
    </w:p>
    <w:p w14:paraId="33E31E3E" w14:textId="705C877D" w:rsidR="00AE3E37" w:rsidRPr="00170897" w:rsidRDefault="00A9710C" w:rsidP="00170897">
      <w:pPr>
        <w:spacing w:before="62"/>
        <w:ind w:left="2880" w:right="4235"/>
        <w:rPr>
          <w:rFonts w:ascii="Arial"/>
          <w:sz w:val="14"/>
        </w:rPr>
        <w:sectPr w:rsidR="00AE3E37" w:rsidRPr="00170897">
          <w:type w:val="continuous"/>
          <w:pgSz w:w="11910" w:h="16840"/>
          <w:pgMar w:top="1740" w:right="600" w:bottom="840" w:left="620" w:header="720" w:footer="720" w:gutter="0"/>
          <w:cols w:space="720"/>
        </w:sectPr>
      </w:pPr>
      <w:r>
        <w:rPr>
          <w:rFonts w:ascii="Arial"/>
          <w:sz w:val="14"/>
        </w:rPr>
        <w:t xml:space="preserve">Email: </w:t>
      </w:r>
      <w:hyperlink r:id="rId12" w:history="1">
        <w:r w:rsidR="00F642A2" w:rsidRPr="0063719C">
          <w:rPr>
            <w:rStyle w:val="Hyperlink"/>
            <w:rFonts w:ascii="Arial"/>
            <w:sz w:val="14"/>
          </w:rPr>
          <w:t>thomley@uab.edu</w:t>
        </w:r>
      </w:hyperlink>
      <w:r w:rsidR="00F642A2">
        <w:rPr>
          <w:rFonts w:ascii="Arial"/>
          <w:sz w:val="14"/>
        </w:rPr>
        <w:t xml:space="preserve">, </w:t>
      </w:r>
      <w:hyperlink r:id="rId13" w:history="1">
        <w:r w:rsidR="00F642A2" w:rsidRPr="0063719C">
          <w:rPr>
            <w:rStyle w:val="Hyperlink"/>
            <w:rFonts w:ascii="Arial"/>
            <w:sz w:val="14"/>
          </w:rPr>
          <w:t>dspalding@uabmc.edu</w:t>
        </w:r>
      </w:hyperlink>
    </w:p>
    <w:p w14:paraId="2B0C0711" w14:textId="77777777" w:rsidR="00AE3E37" w:rsidRDefault="00AE3E37" w:rsidP="00943C6B">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4302F4" w14:textId="77777777" w:rsidR="004C5BD3" w:rsidRDefault="004C5BD3">
      <w:r>
        <w:separator/>
      </w:r>
    </w:p>
  </w:endnote>
  <w:endnote w:type="continuationSeparator" w:id="0">
    <w:p w14:paraId="73F0A853" w14:textId="77777777" w:rsidR="004C5BD3" w:rsidRDefault="004C5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46C1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F55B34" wp14:editId="29B8CEC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39E1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2450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F55B3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6D939E1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32450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1E18FEC" wp14:editId="355B0C3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8DE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DFA8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18FE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6BD8DE9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DFA80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0F0EF75" wp14:editId="361EFB9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C8E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27D2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0EF7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56EC8E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27D26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08DE86" w14:textId="77777777" w:rsidR="004C5BD3" w:rsidRDefault="004C5BD3">
      <w:r>
        <w:separator/>
      </w:r>
    </w:p>
  </w:footnote>
  <w:footnote w:type="continuationSeparator" w:id="0">
    <w:p w14:paraId="238949FF" w14:textId="77777777" w:rsidR="004C5BD3" w:rsidRDefault="004C5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664F7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65FBF46" wp14:editId="1239BBD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6065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5FBF4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5DA6065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BE81806" wp14:editId="21EE6DC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046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F1EB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8180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70E04632"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6F1EB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FA146EAA"/>
    <w:lvl w:ilvl="0" w:tplc="C90427F0">
      <w:start w:val="1"/>
      <w:numFmt w:val="decimal"/>
      <w:lvlText w:val="%1."/>
      <w:lvlJc w:val="left"/>
      <w:pPr>
        <w:ind w:left="374" w:hanging="284"/>
      </w:pPr>
      <w:rPr>
        <w:rFonts w:ascii="Calibri" w:eastAsia="Calibri" w:hAnsi="Calibri" w:cs="Calibri" w:hint="default"/>
        <w:spacing w:val="-16"/>
        <w:w w:val="100"/>
        <w:sz w:val="16"/>
        <w:szCs w:val="16"/>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3060FF5"/>
    <w:multiLevelType w:val="hybridMultilevel"/>
    <w:tmpl w:val="01BE4C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B08"/>
    <w:rsid w:val="000E2911"/>
    <w:rsid w:val="001263DF"/>
    <w:rsid w:val="001505E4"/>
    <w:rsid w:val="00170897"/>
    <w:rsid w:val="001E763C"/>
    <w:rsid w:val="002865AA"/>
    <w:rsid w:val="00292ED9"/>
    <w:rsid w:val="002D48F9"/>
    <w:rsid w:val="002D79F6"/>
    <w:rsid w:val="00314AFB"/>
    <w:rsid w:val="003A20AA"/>
    <w:rsid w:val="003B76D9"/>
    <w:rsid w:val="00404E5B"/>
    <w:rsid w:val="00414F7B"/>
    <w:rsid w:val="004355DC"/>
    <w:rsid w:val="004749B4"/>
    <w:rsid w:val="00494130"/>
    <w:rsid w:val="004C5BD3"/>
    <w:rsid w:val="004F3523"/>
    <w:rsid w:val="005973B9"/>
    <w:rsid w:val="005B3A56"/>
    <w:rsid w:val="005D3653"/>
    <w:rsid w:val="006060CE"/>
    <w:rsid w:val="0063497F"/>
    <w:rsid w:val="00686CE8"/>
    <w:rsid w:val="00691FA3"/>
    <w:rsid w:val="0078738A"/>
    <w:rsid w:val="007A6591"/>
    <w:rsid w:val="0084749F"/>
    <w:rsid w:val="00873DF0"/>
    <w:rsid w:val="008756E6"/>
    <w:rsid w:val="00881E72"/>
    <w:rsid w:val="008B2DF3"/>
    <w:rsid w:val="00921946"/>
    <w:rsid w:val="00943C6B"/>
    <w:rsid w:val="009B2D44"/>
    <w:rsid w:val="00A002D1"/>
    <w:rsid w:val="00A07E82"/>
    <w:rsid w:val="00A31E6D"/>
    <w:rsid w:val="00A9710C"/>
    <w:rsid w:val="00AE3E37"/>
    <w:rsid w:val="00B21A57"/>
    <w:rsid w:val="00B418BC"/>
    <w:rsid w:val="00BA33AA"/>
    <w:rsid w:val="00C1497F"/>
    <w:rsid w:val="00C14DF2"/>
    <w:rsid w:val="00C326B0"/>
    <w:rsid w:val="00C33602"/>
    <w:rsid w:val="00CD6F55"/>
    <w:rsid w:val="00D545A6"/>
    <w:rsid w:val="00D565A2"/>
    <w:rsid w:val="00D62425"/>
    <w:rsid w:val="00DB65AB"/>
    <w:rsid w:val="00DE3104"/>
    <w:rsid w:val="00E15662"/>
    <w:rsid w:val="00E82484"/>
    <w:rsid w:val="00E97981"/>
    <w:rsid w:val="00F642A2"/>
    <w:rsid w:val="00F72EEA"/>
    <w:rsid w:val="00F8136A"/>
    <w:rsid w:val="00F84CAE"/>
    <w:rsid w:val="00FE5B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F46F3"/>
  <w15:docId w15:val="{01CCB795-26BE-7E4B-818C-14F2D99E5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64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889361">
      <w:bodyDiv w:val="1"/>
      <w:marLeft w:val="0"/>
      <w:marRight w:val="0"/>
      <w:marTop w:val="0"/>
      <w:marBottom w:val="0"/>
      <w:divBdr>
        <w:top w:val="none" w:sz="0" w:space="0" w:color="auto"/>
        <w:left w:val="none" w:sz="0" w:space="0" w:color="auto"/>
        <w:bottom w:val="none" w:sz="0" w:space="0" w:color="auto"/>
        <w:right w:val="none" w:sz="0" w:space="0" w:color="auto"/>
      </w:divBdr>
      <w:divsChild>
        <w:div w:id="578491006">
          <w:marLeft w:val="0"/>
          <w:marRight w:val="0"/>
          <w:marTop w:val="0"/>
          <w:marBottom w:val="0"/>
          <w:divBdr>
            <w:top w:val="none" w:sz="0" w:space="0" w:color="auto"/>
            <w:left w:val="none" w:sz="0" w:space="0" w:color="auto"/>
            <w:bottom w:val="none" w:sz="0" w:space="0" w:color="auto"/>
            <w:right w:val="none" w:sz="0" w:space="0" w:color="auto"/>
          </w:divBdr>
        </w:div>
        <w:div w:id="1777864805">
          <w:marLeft w:val="0"/>
          <w:marRight w:val="0"/>
          <w:marTop w:val="0"/>
          <w:marBottom w:val="0"/>
          <w:divBdr>
            <w:top w:val="none" w:sz="0" w:space="0" w:color="auto"/>
            <w:left w:val="none" w:sz="0" w:space="0" w:color="auto"/>
            <w:bottom w:val="none" w:sz="0" w:space="0" w:color="auto"/>
            <w:right w:val="none" w:sz="0" w:space="0" w:color="auto"/>
          </w:divBdr>
        </w:div>
      </w:divsChild>
    </w:div>
    <w:div w:id="312687644">
      <w:bodyDiv w:val="1"/>
      <w:marLeft w:val="0"/>
      <w:marRight w:val="0"/>
      <w:marTop w:val="0"/>
      <w:marBottom w:val="0"/>
      <w:divBdr>
        <w:top w:val="none" w:sz="0" w:space="0" w:color="auto"/>
        <w:left w:val="none" w:sz="0" w:space="0" w:color="auto"/>
        <w:bottom w:val="none" w:sz="0" w:space="0" w:color="auto"/>
        <w:right w:val="none" w:sz="0" w:space="0" w:color="auto"/>
      </w:divBdr>
      <w:divsChild>
        <w:div w:id="46806560">
          <w:marLeft w:val="0"/>
          <w:marRight w:val="0"/>
          <w:marTop w:val="0"/>
          <w:marBottom w:val="360"/>
          <w:divBdr>
            <w:top w:val="none" w:sz="0" w:space="0" w:color="auto"/>
            <w:left w:val="none" w:sz="0" w:space="0" w:color="auto"/>
            <w:bottom w:val="none" w:sz="0" w:space="0" w:color="auto"/>
            <w:right w:val="none" w:sz="0" w:space="0" w:color="auto"/>
          </w:divBdr>
          <w:divsChild>
            <w:div w:id="1341784855">
              <w:marLeft w:val="0"/>
              <w:marRight w:val="0"/>
              <w:marTop w:val="0"/>
              <w:marBottom w:val="0"/>
              <w:divBdr>
                <w:top w:val="none" w:sz="0" w:space="0" w:color="auto"/>
                <w:left w:val="none" w:sz="0" w:space="0" w:color="auto"/>
                <w:bottom w:val="none" w:sz="0" w:space="0" w:color="auto"/>
                <w:right w:val="none" w:sz="0" w:space="0" w:color="auto"/>
              </w:divBdr>
              <w:divsChild>
                <w:div w:id="39701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316073">
          <w:marLeft w:val="0"/>
          <w:marRight w:val="0"/>
          <w:marTop w:val="0"/>
          <w:marBottom w:val="360"/>
          <w:divBdr>
            <w:top w:val="none" w:sz="0" w:space="0" w:color="auto"/>
            <w:left w:val="none" w:sz="0" w:space="0" w:color="auto"/>
            <w:bottom w:val="none" w:sz="0" w:space="0" w:color="auto"/>
            <w:right w:val="none" w:sz="0" w:space="0" w:color="auto"/>
          </w:divBdr>
          <w:divsChild>
            <w:div w:id="69540984">
              <w:marLeft w:val="0"/>
              <w:marRight w:val="0"/>
              <w:marTop w:val="0"/>
              <w:marBottom w:val="0"/>
              <w:divBdr>
                <w:top w:val="none" w:sz="0" w:space="0" w:color="auto"/>
                <w:left w:val="none" w:sz="0" w:space="0" w:color="auto"/>
                <w:bottom w:val="none" w:sz="0" w:space="0" w:color="auto"/>
                <w:right w:val="none" w:sz="0" w:space="0" w:color="auto"/>
              </w:divBdr>
              <w:divsChild>
                <w:div w:id="179902172">
                  <w:marLeft w:val="0"/>
                  <w:marRight w:val="0"/>
                  <w:marTop w:val="0"/>
                  <w:marBottom w:val="0"/>
                  <w:divBdr>
                    <w:top w:val="none" w:sz="0" w:space="0" w:color="auto"/>
                    <w:left w:val="none" w:sz="0" w:space="0" w:color="auto"/>
                    <w:bottom w:val="none" w:sz="0" w:space="0" w:color="auto"/>
                    <w:right w:val="none" w:sz="0" w:space="0" w:color="auto"/>
                  </w:divBdr>
                </w:div>
                <w:div w:id="203040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31666">
          <w:marLeft w:val="0"/>
          <w:marRight w:val="0"/>
          <w:marTop w:val="0"/>
          <w:marBottom w:val="360"/>
          <w:divBdr>
            <w:top w:val="none" w:sz="0" w:space="0" w:color="auto"/>
            <w:left w:val="none" w:sz="0" w:space="0" w:color="auto"/>
            <w:bottom w:val="none" w:sz="0" w:space="0" w:color="auto"/>
            <w:right w:val="none" w:sz="0" w:space="0" w:color="auto"/>
          </w:divBdr>
          <w:divsChild>
            <w:div w:id="515121498">
              <w:marLeft w:val="0"/>
              <w:marRight w:val="0"/>
              <w:marTop w:val="0"/>
              <w:marBottom w:val="0"/>
              <w:divBdr>
                <w:top w:val="none" w:sz="0" w:space="0" w:color="auto"/>
                <w:left w:val="none" w:sz="0" w:space="0" w:color="auto"/>
                <w:bottom w:val="none" w:sz="0" w:space="0" w:color="auto"/>
                <w:right w:val="none" w:sz="0" w:space="0" w:color="auto"/>
              </w:divBdr>
              <w:divsChild>
                <w:div w:id="1745714238">
                  <w:marLeft w:val="0"/>
                  <w:marRight w:val="0"/>
                  <w:marTop w:val="0"/>
                  <w:marBottom w:val="0"/>
                  <w:divBdr>
                    <w:top w:val="none" w:sz="0" w:space="0" w:color="auto"/>
                    <w:left w:val="none" w:sz="0" w:space="0" w:color="auto"/>
                    <w:bottom w:val="none" w:sz="0" w:space="0" w:color="auto"/>
                    <w:right w:val="none" w:sz="0" w:space="0" w:color="auto"/>
                  </w:divBdr>
                </w:div>
                <w:div w:id="2550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05891782">
      <w:bodyDiv w:val="1"/>
      <w:marLeft w:val="0"/>
      <w:marRight w:val="0"/>
      <w:marTop w:val="0"/>
      <w:marBottom w:val="0"/>
      <w:divBdr>
        <w:top w:val="none" w:sz="0" w:space="0" w:color="auto"/>
        <w:left w:val="none" w:sz="0" w:space="0" w:color="auto"/>
        <w:bottom w:val="none" w:sz="0" w:space="0" w:color="auto"/>
        <w:right w:val="none" w:sz="0" w:space="0" w:color="auto"/>
      </w:divBdr>
    </w:div>
    <w:div w:id="723868084">
      <w:bodyDiv w:val="1"/>
      <w:marLeft w:val="0"/>
      <w:marRight w:val="0"/>
      <w:marTop w:val="0"/>
      <w:marBottom w:val="0"/>
      <w:divBdr>
        <w:top w:val="none" w:sz="0" w:space="0" w:color="auto"/>
        <w:left w:val="none" w:sz="0" w:space="0" w:color="auto"/>
        <w:bottom w:val="none" w:sz="0" w:space="0" w:color="auto"/>
        <w:right w:val="none" w:sz="0" w:space="0" w:color="auto"/>
      </w:divBdr>
      <w:divsChild>
        <w:div w:id="803933762">
          <w:marLeft w:val="0"/>
          <w:marRight w:val="0"/>
          <w:marTop w:val="0"/>
          <w:marBottom w:val="0"/>
          <w:divBdr>
            <w:top w:val="none" w:sz="0" w:space="0" w:color="auto"/>
            <w:left w:val="none" w:sz="0" w:space="0" w:color="auto"/>
            <w:bottom w:val="none" w:sz="0" w:space="0" w:color="auto"/>
            <w:right w:val="none" w:sz="0" w:space="0" w:color="auto"/>
          </w:divBdr>
        </w:div>
        <w:div w:id="2067409374">
          <w:marLeft w:val="0"/>
          <w:marRight w:val="0"/>
          <w:marTop w:val="0"/>
          <w:marBottom w:val="0"/>
          <w:divBdr>
            <w:top w:val="none" w:sz="0" w:space="0" w:color="auto"/>
            <w:left w:val="none" w:sz="0" w:space="0" w:color="auto"/>
            <w:bottom w:val="none" w:sz="0" w:space="0" w:color="auto"/>
            <w:right w:val="none" w:sz="0" w:space="0" w:color="auto"/>
          </w:divBdr>
        </w:div>
      </w:divsChild>
    </w:div>
    <w:div w:id="864370593">
      <w:bodyDiv w:val="1"/>
      <w:marLeft w:val="0"/>
      <w:marRight w:val="0"/>
      <w:marTop w:val="0"/>
      <w:marBottom w:val="0"/>
      <w:divBdr>
        <w:top w:val="none" w:sz="0" w:space="0" w:color="auto"/>
        <w:left w:val="none" w:sz="0" w:space="0" w:color="auto"/>
        <w:bottom w:val="none" w:sz="0" w:space="0" w:color="auto"/>
        <w:right w:val="none" w:sz="0" w:space="0" w:color="auto"/>
      </w:divBdr>
    </w:div>
    <w:div w:id="1104036221">
      <w:bodyDiv w:val="1"/>
      <w:marLeft w:val="0"/>
      <w:marRight w:val="0"/>
      <w:marTop w:val="0"/>
      <w:marBottom w:val="0"/>
      <w:divBdr>
        <w:top w:val="none" w:sz="0" w:space="0" w:color="auto"/>
        <w:left w:val="none" w:sz="0" w:space="0" w:color="auto"/>
        <w:bottom w:val="none" w:sz="0" w:space="0" w:color="auto"/>
        <w:right w:val="none" w:sz="0" w:space="0" w:color="auto"/>
      </w:divBdr>
      <w:divsChild>
        <w:div w:id="1914200933">
          <w:marLeft w:val="0"/>
          <w:marRight w:val="0"/>
          <w:marTop w:val="0"/>
          <w:marBottom w:val="0"/>
          <w:divBdr>
            <w:top w:val="none" w:sz="0" w:space="0" w:color="auto"/>
            <w:left w:val="none" w:sz="0" w:space="0" w:color="auto"/>
            <w:bottom w:val="none" w:sz="0" w:space="0" w:color="auto"/>
            <w:right w:val="none" w:sz="0" w:space="0" w:color="auto"/>
          </w:divBdr>
        </w:div>
        <w:div w:id="849029211">
          <w:marLeft w:val="0"/>
          <w:marRight w:val="0"/>
          <w:marTop w:val="0"/>
          <w:marBottom w:val="0"/>
          <w:divBdr>
            <w:top w:val="none" w:sz="0" w:space="0" w:color="auto"/>
            <w:left w:val="none" w:sz="0" w:space="0" w:color="auto"/>
            <w:bottom w:val="none" w:sz="0" w:space="0" w:color="auto"/>
            <w:right w:val="none" w:sz="0" w:space="0" w:color="auto"/>
          </w:divBdr>
        </w:div>
      </w:divsChild>
    </w:div>
    <w:div w:id="1324770949">
      <w:bodyDiv w:val="1"/>
      <w:marLeft w:val="0"/>
      <w:marRight w:val="0"/>
      <w:marTop w:val="0"/>
      <w:marBottom w:val="0"/>
      <w:divBdr>
        <w:top w:val="none" w:sz="0" w:space="0" w:color="auto"/>
        <w:left w:val="none" w:sz="0" w:space="0" w:color="auto"/>
        <w:bottom w:val="none" w:sz="0" w:space="0" w:color="auto"/>
        <w:right w:val="none" w:sz="0" w:space="0" w:color="auto"/>
      </w:divBdr>
      <w:divsChild>
        <w:div w:id="2117362902">
          <w:marLeft w:val="0"/>
          <w:marRight w:val="0"/>
          <w:marTop w:val="0"/>
          <w:marBottom w:val="360"/>
          <w:divBdr>
            <w:top w:val="none" w:sz="0" w:space="0" w:color="auto"/>
            <w:left w:val="none" w:sz="0" w:space="0" w:color="auto"/>
            <w:bottom w:val="none" w:sz="0" w:space="0" w:color="auto"/>
            <w:right w:val="none" w:sz="0" w:space="0" w:color="auto"/>
          </w:divBdr>
          <w:divsChild>
            <w:div w:id="1201359253">
              <w:marLeft w:val="0"/>
              <w:marRight w:val="0"/>
              <w:marTop w:val="0"/>
              <w:marBottom w:val="0"/>
              <w:divBdr>
                <w:top w:val="none" w:sz="0" w:space="0" w:color="auto"/>
                <w:left w:val="none" w:sz="0" w:space="0" w:color="auto"/>
                <w:bottom w:val="none" w:sz="0" w:space="0" w:color="auto"/>
                <w:right w:val="none" w:sz="0" w:space="0" w:color="auto"/>
              </w:divBdr>
              <w:divsChild>
                <w:div w:id="160321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8116">
          <w:marLeft w:val="0"/>
          <w:marRight w:val="0"/>
          <w:marTop w:val="0"/>
          <w:marBottom w:val="360"/>
          <w:divBdr>
            <w:top w:val="none" w:sz="0" w:space="0" w:color="auto"/>
            <w:left w:val="none" w:sz="0" w:space="0" w:color="auto"/>
            <w:bottom w:val="none" w:sz="0" w:space="0" w:color="auto"/>
            <w:right w:val="none" w:sz="0" w:space="0" w:color="auto"/>
          </w:divBdr>
          <w:divsChild>
            <w:div w:id="578172687">
              <w:marLeft w:val="0"/>
              <w:marRight w:val="0"/>
              <w:marTop w:val="0"/>
              <w:marBottom w:val="0"/>
              <w:divBdr>
                <w:top w:val="none" w:sz="0" w:space="0" w:color="auto"/>
                <w:left w:val="none" w:sz="0" w:space="0" w:color="auto"/>
                <w:bottom w:val="none" w:sz="0" w:space="0" w:color="auto"/>
                <w:right w:val="none" w:sz="0" w:space="0" w:color="auto"/>
              </w:divBdr>
              <w:divsChild>
                <w:div w:id="350575088">
                  <w:marLeft w:val="0"/>
                  <w:marRight w:val="0"/>
                  <w:marTop w:val="0"/>
                  <w:marBottom w:val="0"/>
                  <w:divBdr>
                    <w:top w:val="none" w:sz="0" w:space="0" w:color="auto"/>
                    <w:left w:val="none" w:sz="0" w:space="0" w:color="auto"/>
                    <w:bottom w:val="none" w:sz="0" w:space="0" w:color="auto"/>
                    <w:right w:val="none" w:sz="0" w:space="0" w:color="auto"/>
                  </w:divBdr>
                </w:div>
                <w:div w:id="158079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95951">
          <w:marLeft w:val="0"/>
          <w:marRight w:val="0"/>
          <w:marTop w:val="0"/>
          <w:marBottom w:val="360"/>
          <w:divBdr>
            <w:top w:val="none" w:sz="0" w:space="0" w:color="auto"/>
            <w:left w:val="none" w:sz="0" w:space="0" w:color="auto"/>
            <w:bottom w:val="none" w:sz="0" w:space="0" w:color="auto"/>
            <w:right w:val="none" w:sz="0" w:space="0" w:color="auto"/>
          </w:divBdr>
          <w:divsChild>
            <w:div w:id="577448917">
              <w:marLeft w:val="0"/>
              <w:marRight w:val="0"/>
              <w:marTop w:val="0"/>
              <w:marBottom w:val="0"/>
              <w:divBdr>
                <w:top w:val="none" w:sz="0" w:space="0" w:color="auto"/>
                <w:left w:val="none" w:sz="0" w:space="0" w:color="auto"/>
                <w:bottom w:val="none" w:sz="0" w:space="0" w:color="auto"/>
                <w:right w:val="none" w:sz="0" w:space="0" w:color="auto"/>
              </w:divBdr>
              <w:divsChild>
                <w:div w:id="1632978952">
                  <w:marLeft w:val="0"/>
                  <w:marRight w:val="0"/>
                  <w:marTop w:val="0"/>
                  <w:marBottom w:val="0"/>
                  <w:divBdr>
                    <w:top w:val="none" w:sz="0" w:space="0" w:color="auto"/>
                    <w:left w:val="none" w:sz="0" w:space="0" w:color="auto"/>
                    <w:bottom w:val="none" w:sz="0" w:space="0" w:color="auto"/>
                    <w:right w:val="none" w:sz="0" w:space="0" w:color="auto"/>
                  </w:divBdr>
                </w:div>
                <w:div w:id="20210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53965202">
      <w:bodyDiv w:val="1"/>
      <w:marLeft w:val="0"/>
      <w:marRight w:val="0"/>
      <w:marTop w:val="0"/>
      <w:marBottom w:val="0"/>
      <w:divBdr>
        <w:top w:val="none" w:sz="0" w:space="0" w:color="auto"/>
        <w:left w:val="none" w:sz="0" w:space="0" w:color="auto"/>
        <w:bottom w:val="none" w:sz="0" w:space="0" w:color="auto"/>
        <w:right w:val="none" w:sz="0" w:space="0" w:color="auto"/>
      </w:divBdr>
      <w:divsChild>
        <w:div w:id="1375080495">
          <w:marLeft w:val="0"/>
          <w:marRight w:val="0"/>
          <w:marTop w:val="0"/>
          <w:marBottom w:val="0"/>
          <w:divBdr>
            <w:top w:val="none" w:sz="0" w:space="0" w:color="auto"/>
            <w:left w:val="none" w:sz="0" w:space="0" w:color="auto"/>
            <w:bottom w:val="none" w:sz="0" w:space="0" w:color="auto"/>
            <w:right w:val="none" w:sz="0" w:space="0" w:color="auto"/>
          </w:divBdr>
        </w:div>
        <w:div w:id="205711592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spalding@uabmc.edu"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thomley@uab.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Thomley, Meredith E</cp:lastModifiedBy>
  <cp:revision>6</cp:revision>
  <cp:lastPrinted>2019-11-07T18:25:00Z</cp:lastPrinted>
  <dcterms:created xsi:type="dcterms:W3CDTF">2019-11-07T18:25:00Z</dcterms:created>
  <dcterms:modified xsi:type="dcterms:W3CDTF">2019-11-07T18:29:00Z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