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118CD" w14:textId="5A09222E" w:rsidR="00223C0C" w:rsidRPr="00223C0C" w:rsidRDefault="00223C0C" w:rsidP="00223C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EBV</w:t>
      </w:r>
      <w:r w:rsidRPr="00223C0C">
        <w:rPr>
          <w:rFonts w:ascii="Times New Roman" w:hAnsi="Times New Roman" w:cs="Times New Roman"/>
          <w:b/>
          <w:sz w:val="24"/>
          <w:szCs w:val="24"/>
        </w:rPr>
        <w:t xml:space="preserve"> DNA </w:t>
      </w:r>
      <w:r>
        <w:rPr>
          <w:rFonts w:ascii="Times New Roman" w:hAnsi="Times New Roman" w:cs="Times New Roman"/>
          <w:b/>
          <w:sz w:val="24"/>
          <w:szCs w:val="24"/>
        </w:rPr>
        <w:t>alters</w:t>
      </w:r>
      <w:r w:rsidRPr="00223C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Treg</w:t>
      </w:r>
      <w:r w:rsidRPr="00223C0C">
        <w:rPr>
          <w:rFonts w:ascii="Times New Roman" w:hAnsi="Times New Roman" w:cs="Times New Roman"/>
          <w:b/>
          <w:sz w:val="24"/>
          <w:szCs w:val="24"/>
        </w:rPr>
        <w:t xml:space="preserve"> programming </w:t>
      </w:r>
      <w:r>
        <w:rPr>
          <w:rFonts w:ascii="Times New Roman" w:hAnsi="Times New Roman" w:cs="Times New Roman"/>
          <w:b/>
          <w:sz w:val="24"/>
          <w:szCs w:val="24"/>
        </w:rPr>
        <w:t>and</w:t>
      </w:r>
      <w:r w:rsidRPr="00223C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enhances</w:t>
      </w:r>
      <w:r w:rsidRPr="00223C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IL-17A</w:t>
      </w:r>
      <w:r w:rsidRPr="00223C0C">
        <w:rPr>
          <w:rFonts w:ascii="Times New Roman" w:hAnsi="Times New Roman" w:cs="Times New Roman"/>
          <w:b/>
          <w:sz w:val="24"/>
          <w:szCs w:val="24"/>
        </w:rPr>
        <w:t xml:space="preserve"> production via</w:t>
      </w:r>
      <w:r>
        <w:rPr>
          <w:rFonts w:ascii="Times New Roman" w:hAnsi="Times New Roman" w:cs="Times New Roman"/>
          <w:b/>
          <w:sz w:val="24"/>
          <w:szCs w:val="24"/>
        </w:rPr>
        <w:t xml:space="preserve"> TLR9</w:t>
      </w:r>
    </w:p>
    <w:p w14:paraId="419AA50C" w14:textId="0D0AD53A" w:rsidR="00B06B94" w:rsidRPr="00C42E0B" w:rsidRDefault="00223C0C" w:rsidP="00B06B9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23C0C">
        <w:rPr>
          <w:rFonts w:ascii="Times New Roman" w:hAnsi="Times New Roman" w:cs="Times New Roman"/>
          <w:sz w:val="24"/>
          <w:szCs w:val="24"/>
        </w:rPr>
        <w:t>Hadi</w:t>
      </w:r>
      <w:proofErr w:type="spellEnd"/>
      <w:r w:rsidRPr="00223C0C">
        <w:rPr>
          <w:rFonts w:ascii="Times New Roman" w:hAnsi="Times New Roman" w:cs="Times New Roman"/>
          <w:sz w:val="24"/>
          <w:szCs w:val="24"/>
        </w:rPr>
        <w:t xml:space="preserve"> M. Hussein</w:t>
      </w:r>
      <w:r w:rsidRPr="00223C0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23C0C">
        <w:rPr>
          <w:rFonts w:ascii="Times New Roman" w:hAnsi="Times New Roman" w:cs="Times New Roman"/>
          <w:sz w:val="24"/>
          <w:szCs w:val="24"/>
        </w:rPr>
        <w:t>, Noor Salloum</w:t>
      </w:r>
      <w:r w:rsidRPr="00223C0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23C0C">
        <w:rPr>
          <w:rFonts w:ascii="Times New Roman" w:hAnsi="Times New Roman" w:cs="Times New Roman"/>
          <w:sz w:val="24"/>
          <w:szCs w:val="24"/>
        </w:rPr>
        <w:t>, Rana Jammaz</w:t>
      </w:r>
      <w:r w:rsidRPr="00223C0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23C0C">
        <w:rPr>
          <w:rFonts w:ascii="Times New Roman" w:hAnsi="Times New Roman" w:cs="Times New Roman"/>
          <w:sz w:val="24"/>
          <w:szCs w:val="24"/>
        </w:rPr>
        <w:t>, Sara Jiche</w:t>
      </w:r>
      <w:r w:rsidRPr="00223C0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23C0C">
        <w:rPr>
          <w:rFonts w:ascii="Times New Roman" w:hAnsi="Times New Roman" w:cs="Times New Roman"/>
          <w:sz w:val="24"/>
          <w:szCs w:val="24"/>
        </w:rPr>
        <w:t>, Imad W. Uthman</w:t>
      </w:r>
      <w:r w:rsidRPr="00223C0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23C0C">
        <w:rPr>
          <w:rFonts w:ascii="Times New Roman" w:hAnsi="Times New Roman" w:cs="Times New Roman"/>
          <w:sz w:val="24"/>
          <w:szCs w:val="24"/>
        </w:rPr>
        <w:t>, Alexander M. Abdelnoor</w:t>
      </w:r>
      <w:r w:rsidRPr="00223C0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23C0C">
        <w:rPr>
          <w:rFonts w:ascii="Times New Roman" w:hAnsi="Times New Roman" w:cs="Times New Roman"/>
          <w:sz w:val="24"/>
          <w:szCs w:val="24"/>
        </w:rPr>
        <w:t>, Elias A. Rahal</w:t>
      </w:r>
      <w:r w:rsidRPr="00223C0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64BA952C" w14:textId="2905E158" w:rsidR="002A0F8F" w:rsidRPr="00C42E0B" w:rsidRDefault="00223C0C" w:rsidP="00223C0C">
      <w:pPr>
        <w:rPr>
          <w:rFonts w:ascii="Times New Roman" w:hAnsi="Times New Roman" w:cs="Times New Roman"/>
          <w:i/>
          <w:sz w:val="24"/>
          <w:szCs w:val="24"/>
        </w:rPr>
      </w:pPr>
      <w:r w:rsidRPr="00223C0C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223C0C">
        <w:rPr>
          <w:rFonts w:ascii="Times New Roman" w:hAnsi="Times New Roman" w:cs="Times New Roman"/>
          <w:i/>
          <w:sz w:val="24"/>
          <w:szCs w:val="24"/>
        </w:rPr>
        <w:t>Department of Experimental Pathology, Immunology and Microbiology, American University of Beirut, Beirut, Lebanon</w:t>
      </w:r>
      <w:r>
        <w:rPr>
          <w:rFonts w:ascii="Times New Roman" w:hAnsi="Times New Roman" w:cs="Times New Roman"/>
          <w:i/>
          <w:sz w:val="24"/>
          <w:szCs w:val="24"/>
        </w:rPr>
        <w:t>;</w:t>
      </w:r>
      <w:r w:rsidRPr="00223C0C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223C0C">
        <w:rPr>
          <w:rFonts w:ascii="Times New Roman" w:hAnsi="Times New Roman" w:cs="Times New Roman"/>
          <w:i/>
          <w:sz w:val="24"/>
          <w:szCs w:val="24"/>
        </w:rPr>
        <w:t>Department of Internal Medicine, American University of Beirut Medical Center, Beirut, Lebanon</w:t>
      </w:r>
      <w:r w:rsidRPr="00223C0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4F9B4B0" w14:textId="075A1134" w:rsidR="002A0F8F" w:rsidRPr="00C42E0B" w:rsidRDefault="00BC77D6" w:rsidP="00B06B94">
      <w:pPr>
        <w:rPr>
          <w:rFonts w:ascii="Times New Roman" w:hAnsi="Times New Roman" w:cs="Times New Roman"/>
          <w:sz w:val="24"/>
          <w:szCs w:val="24"/>
        </w:rPr>
      </w:pPr>
      <w:r w:rsidRPr="00C42E0B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="00223C0C" w:rsidRPr="00A204EA">
          <w:rPr>
            <w:rStyle w:val="Hyperlink"/>
            <w:rFonts w:ascii="Times New Roman" w:hAnsi="Times New Roman" w:cs="Times New Roman"/>
            <w:sz w:val="24"/>
            <w:szCs w:val="24"/>
          </w:rPr>
          <w:t>er00@aub.edu.lb</w:t>
        </w:r>
      </w:hyperlink>
      <w:r w:rsidRPr="00C42E0B">
        <w:rPr>
          <w:rFonts w:ascii="Times New Roman" w:hAnsi="Times New Roman" w:cs="Times New Roman"/>
          <w:sz w:val="24"/>
          <w:szCs w:val="24"/>
        </w:rPr>
        <w:t>, +</w:t>
      </w:r>
      <w:r w:rsidR="00223C0C">
        <w:rPr>
          <w:rFonts w:ascii="Times New Roman" w:hAnsi="Times New Roman" w:cs="Times New Roman"/>
          <w:sz w:val="24"/>
          <w:szCs w:val="24"/>
        </w:rPr>
        <w:t>961-71068682</w:t>
      </w:r>
      <w:r w:rsidRPr="00C42E0B">
        <w:rPr>
          <w:rFonts w:ascii="Times New Roman" w:hAnsi="Times New Roman" w:cs="Times New Roman"/>
          <w:sz w:val="24"/>
          <w:szCs w:val="24"/>
        </w:rPr>
        <w:t>}</w:t>
      </w:r>
    </w:p>
    <w:p w14:paraId="5A95BFDE" w14:textId="77490D23" w:rsidR="00B06B94" w:rsidRDefault="00B06B94" w:rsidP="00B06B94">
      <w:pPr>
        <w:rPr>
          <w:rFonts w:ascii="Times New Roman" w:hAnsi="Times New Roman" w:cs="Times New Roman"/>
          <w:sz w:val="24"/>
          <w:szCs w:val="24"/>
        </w:rPr>
      </w:pPr>
      <w:r w:rsidRPr="00C42E0B">
        <w:rPr>
          <w:rFonts w:ascii="Times New Roman" w:hAnsi="Times New Roman" w:cs="Times New Roman"/>
          <w:b/>
          <w:sz w:val="24"/>
          <w:szCs w:val="24"/>
        </w:rPr>
        <w:t>Abstract</w:t>
      </w:r>
      <w:r w:rsidRPr="00C42E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688D60" w14:textId="11DD440F" w:rsidR="00B06B94" w:rsidRPr="00C42E0B" w:rsidRDefault="00906486" w:rsidP="00906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The Epstein-Barr virus (</w:t>
      </w:r>
      <w:r w:rsidR="00223C0C">
        <w:rPr>
          <w:rFonts w:asciiTheme="majorBidi" w:hAnsiTheme="majorBidi" w:cstheme="majorBidi"/>
          <w:color w:val="000000" w:themeColor="text1"/>
          <w:sz w:val="24"/>
          <w:szCs w:val="24"/>
        </w:rPr>
        <w:t>EBV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has been associated with multiple autoimmune diseases such as rheumatoid arthritis (RA). </w:t>
      </w:r>
      <w:r w:rsidR="00223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We previously 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demonstrated that EBV DNA increases the levels of </w:t>
      </w:r>
      <w:r w:rsidR="00223C0C">
        <w:rPr>
          <w:rFonts w:asciiTheme="majorBidi" w:hAnsiTheme="majorBidi" w:cstheme="majorBidi"/>
          <w:color w:val="000000" w:themeColor="text1"/>
          <w:sz w:val="24"/>
          <w:szCs w:val="24"/>
        </w:rPr>
        <w:t>IL-17A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 pro-inflammatory cytokine known to play a role in autoimmunity. </w:t>
      </w:r>
      <w:r w:rsidR="00223C0C">
        <w:rPr>
          <w:rFonts w:asciiTheme="majorBidi" w:hAnsiTheme="majorBidi" w:cstheme="majorBidi"/>
          <w:color w:val="000000" w:themeColor="text1"/>
          <w:sz w:val="24"/>
          <w:szCs w:val="24"/>
        </w:rPr>
        <w:t>We therefore examined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effect of </w:t>
      </w:r>
      <w:r w:rsidR="00223C0C">
        <w:rPr>
          <w:rFonts w:asciiTheme="majorBidi" w:hAnsiTheme="majorBidi" w:cstheme="majorBidi"/>
          <w:color w:val="000000" w:themeColor="text1"/>
          <w:sz w:val="24"/>
          <w:szCs w:val="24"/>
        </w:rPr>
        <w:t>EBV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DNA on immunoregulatory mechanisms and on the involvement of Toll-like receptor </w:t>
      </w:r>
      <w:r w:rsidR="00790689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TLR9) in </w:t>
      </w:r>
      <w:r w:rsidR="00223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EBV 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>DNA elicit</w:t>
      </w:r>
      <w:r w:rsidR="00223C0C">
        <w:rPr>
          <w:rFonts w:asciiTheme="majorBidi" w:hAnsiTheme="majorBidi" w:cstheme="majorBidi"/>
          <w:color w:val="000000" w:themeColor="text1"/>
          <w:sz w:val="24"/>
          <w:szCs w:val="24"/>
        </w:rPr>
        <w:t>ation of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IL-17A production in mice. Moreover, we assessed these effects in human subjects.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gramStart"/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>We</w:t>
      </w:r>
      <w:proofErr w:type="gramEnd"/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monitored the transcriptional levels of Th17 and regulatory T-cell markers in EBV DNA-injected mice. We also monitored IL-17A levels by ELISA following culture of mouse PBMCs with EBV DNA with or without </w:t>
      </w:r>
      <w:r w:rsidR="00223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 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>TLR9 inhibitor (ODN2088).</w:t>
      </w:r>
      <w:r w:rsidR="00223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Moreover, we evaluated the linearity of the correlation between EBV DNA and IL-17A levels in RA patients and </w:t>
      </w:r>
      <w:proofErr w:type="spellStart"/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>controls.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>EBV</w:t>
      </w:r>
      <w:proofErr w:type="spellEnd"/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DNA injection in mice resulted in a significant increase in the expression of the Th17 markers ROR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sym w:font="Symbol" w:char="F067"/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>T and IL-17A and a significant decrease in the expression of the regulatory marker CTLA4 compared to water-injected controls. Moreover, a significant decrease in IL-17A production was observed from PBMCs treated with the TLR9 inhibitor compared to untreated cells. Furthermore, the correlation between EBV DNA and IL-17A levels in RA patients showed a propensity for linearity unlike control subjects.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Our results suggest that EBV DNA modulates pro-inflammatory as well as regulatory immune compartments. Furthermore,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our data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indicates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 association between EBV DNA and pro-autoimmune IL-17A production</w:t>
      </w:r>
      <w:r w:rsidR="00223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 humans</w:t>
      </w:r>
      <w:r w:rsidR="00223C0C" w:rsidRPr="009E69B4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involvement of TLR9 indicates it may serve as a potential therapeutic or prophylactic target.</w:t>
      </w:r>
    </w:p>
    <w:p w14:paraId="3A0454BF" w14:textId="77777777" w:rsidR="00BC77D6" w:rsidRPr="00C42E0B" w:rsidRDefault="00BC77D6" w:rsidP="00B06B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33F80E" w14:textId="1D9A1C66" w:rsidR="00BC77D6" w:rsidRPr="00C42E0B" w:rsidRDefault="00BC77D6" w:rsidP="00BC77D6">
      <w:pPr>
        <w:rPr>
          <w:rFonts w:ascii="Times New Roman" w:hAnsi="Times New Roman" w:cs="Times New Roman"/>
          <w:sz w:val="24"/>
          <w:szCs w:val="24"/>
        </w:rPr>
      </w:pPr>
      <w:r w:rsidRPr="00C42E0B">
        <w:rPr>
          <w:rFonts w:ascii="Times New Roman" w:hAnsi="Times New Roman" w:cs="Times New Roman"/>
          <w:b/>
          <w:sz w:val="24"/>
          <w:szCs w:val="24"/>
        </w:rPr>
        <w:t>Biography</w:t>
      </w:r>
      <w:bookmarkStart w:id="0" w:name="_GoBack"/>
      <w:bookmarkEnd w:id="0"/>
    </w:p>
    <w:p w14:paraId="0BC014AB" w14:textId="6EB90C39" w:rsidR="00BC77D6" w:rsidRPr="00E36A4C" w:rsidRDefault="00E36A4C" w:rsidP="00E36A4C">
      <w:pPr>
        <w:rPr>
          <w:rFonts w:ascii="Times New Roman" w:hAnsi="Times New Roman" w:cs="Times New Roman"/>
          <w:b/>
          <w:sz w:val="24"/>
          <w:szCs w:val="24"/>
        </w:rPr>
      </w:pPr>
      <w:r w:rsidRPr="00E36A4C">
        <w:rPr>
          <w:rFonts w:ascii="Times New Roman" w:hAnsi="Times New Roman" w:cs="Times New Roman"/>
          <w:sz w:val="24"/>
          <w:szCs w:val="24"/>
        </w:rPr>
        <w:t xml:space="preserve">Elias </w:t>
      </w:r>
      <w:r w:rsidRPr="00E36A4C">
        <w:rPr>
          <w:rFonts w:ascii="Times New Roman" w:hAnsi="Times New Roman" w:cs="Times New Roman"/>
          <w:sz w:val="24"/>
          <w:szCs w:val="24"/>
        </w:rPr>
        <w:t xml:space="preserve">A. </w:t>
      </w:r>
      <w:r w:rsidRPr="00E36A4C">
        <w:rPr>
          <w:rFonts w:ascii="Times New Roman" w:hAnsi="Times New Roman" w:cs="Times New Roman"/>
          <w:sz w:val="24"/>
          <w:szCs w:val="24"/>
        </w:rPr>
        <w:t xml:space="preserve">Rahal received his Ph.D. from the University of Arizona and has been a faculty member at </w:t>
      </w:r>
      <w:r w:rsidRPr="00E36A4C">
        <w:rPr>
          <w:rFonts w:ascii="Times New Roman" w:hAnsi="Times New Roman" w:cs="Times New Roman"/>
          <w:sz w:val="24"/>
          <w:szCs w:val="24"/>
        </w:rPr>
        <w:t>the American University of Beirut</w:t>
      </w:r>
      <w:r w:rsidRPr="00E36A4C">
        <w:rPr>
          <w:rFonts w:ascii="Times New Roman" w:hAnsi="Times New Roman" w:cs="Times New Roman"/>
          <w:sz w:val="24"/>
          <w:szCs w:val="24"/>
        </w:rPr>
        <w:t xml:space="preserve"> since 2009. He is currently an </w:t>
      </w:r>
      <w:r w:rsidRPr="00E36A4C">
        <w:rPr>
          <w:rFonts w:ascii="Times New Roman" w:hAnsi="Times New Roman" w:cs="Times New Roman"/>
          <w:sz w:val="24"/>
          <w:szCs w:val="24"/>
        </w:rPr>
        <w:t>A</w:t>
      </w:r>
      <w:r w:rsidRPr="00E36A4C">
        <w:rPr>
          <w:rFonts w:ascii="Times New Roman" w:hAnsi="Times New Roman" w:cs="Times New Roman"/>
          <w:sz w:val="24"/>
          <w:szCs w:val="24"/>
        </w:rPr>
        <w:t xml:space="preserve">ssociate </w:t>
      </w:r>
      <w:r w:rsidRPr="00E36A4C">
        <w:rPr>
          <w:rFonts w:ascii="Times New Roman" w:hAnsi="Times New Roman" w:cs="Times New Roman"/>
          <w:sz w:val="24"/>
          <w:szCs w:val="24"/>
        </w:rPr>
        <w:t>P</w:t>
      </w:r>
      <w:r w:rsidRPr="00E36A4C">
        <w:rPr>
          <w:rFonts w:ascii="Times New Roman" w:hAnsi="Times New Roman" w:cs="Times New Roman"/>
          <w:sz w:val="24"/>
          <w:szCs w:val="24"/>
        </w:rPr>
        <w:t>rofessor at the Department of Experimental Pathology, Immunology and Microbiology. He has previously occupied various research and teaching positions at AUB and the Saint George Hospital-University Medical Center, Lebanon. His research interests include viral and immunogenetic factors that contribute to autoimmun</w:t>
      </w:r>
      <w:r w:rsidRPr="00E36A4C">
        <w:rPr>
          <w:rFonts w:ascii="Times New Roman" w:hAnsi="Times New Roman" w:cs="Times New Roman"/>
          <w:sz w:val="24"/>
          <w:szCs w:val="24"/>
        </w:rPr>
        <w:t>ity</w:t>
      </w:r>
      <w:r w:rsidRPr="00E36A4C">
        <w:rPr>
          <w:rFonts w:ascii="Times New Roman" w:hAnsi="Times New Roman" w:cs="Times New Roman"/>
          <w:sz w:val="24"/>
          <w:szCs w:val="24"/>
        </w:rPr>
        <w:t>. His work has been published in various peer-reviewed journals, presented at numerous international meetings and earned multiple awards from the Annual Midwest Repair Symposium and the Environmental Mutagenesis Society.</w:t>
      </w:r>
    </w:p>
    <w:sectPr w:rsidR="00BC77D6" w:rsidRPr="00E36A4C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94"/>
    <w:rsid w:val="00124C8A"/>
    <w:rsid w:val="00223C0C"/>
    <w:rsid w:val="002A0F8F"/>
    <w:rsid w:val="004C2585"/>
    <w:rsid w:val="00790689"/>
    <w:rsid w:val="00906486"/>
    <w:rsid w:val="00B06B94"/>
    <w:rsid w:val="00BC77D6"/>
    <w:rsid w:val="00C42E0B"/>
    <w:rsid w:val="00E3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2DFBF"/>
  <w15:docId w15:val="{3130003F-B407-405B-8CC8-FA5E2B25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3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r00@aub.edu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Elias Rahal</cp:lastModifiedBy>
  <cp:revision>3</cp:revision>
  <dcterms:created xsi:type="dcterms:W3CDTF">2019-01-03T13:45:00Z</dcterms:created>
  <dcterms:modified xsi:type="dcterms:W3CDTF">2019-01-03T13:49:00Z</dcterms:modified>
</cp:coreProperties>
</file>