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pPr>
      <w:r>
        <w:rPr>
          <w:color w:val="337AB7"/>
        </w:rPr>
        <w:t>Women, trauma and alcohol dependency: Connections and disconnections in alcohol treatment for women</w:t>
      </w:r>
    </w:p>
    <w:p>
      <w:pPr>
        <w:pStyle w:val="5"/>
        <w:spacing w:before="73" w:line="198" w:lineRule="exact"/>
        <w:ind w:left="100" w:right="5987"/>
        <w:rPr>
          <w:rFonts w:hint="default" w:ascii="Arial" w:eastAsia="宋体"/>
          <w:lang w:val="en-US" w:eastAsia="zh-CN"/>
        </w:rPr>
      </w:pPr>
      <w:r>
        <w:rPr>
          <w:rFonts w:ascii="Arial"/>
        </w:rPr>
        <w:t xml:space="preserve">Dr </w:t>
      </w:r>
      <w:r>
        <w:rPr>
          <w:rFonts w:hint="eastAsia" w:ascii="Arial" w:eastAsia="宋体"/>
          <w:lang w:val="en-US" w:eastAsia="zh-CN"/>
        </w:rPr>
        <w:t>Zhang</w:t>
      </w:r>
      <w:r>
        <w:rPr>
          <w:rFonts w:ascii="Arial"/>
        </w:rPr>
        <w:t>, PhD,</w:t>
      </w:r>
      <w:r>
        <w:rPr>
          <w:rFonts w:hint="eastAsia" w:ascii="Arial" w:eastAsia="宋体"/>
          <w:lang w:val="en-US" w:eastAsia="zh-CN"/>
        </w:rPr>
        <w:t>China national nature</w:t>
      </w:r>
      <w:r>
        <w:rPr>
          <w:rFonts w:ascii="Arial"/>
        </w:rPr>
        <w:t xml:space="preserve"> Foundation,  </w:t>
      </w:r>
      <w:r>
        <w:rPr>
          <w:rFonts w:hint="eastAsia" w:ascii="Arial" w:eastAsia="宋体"/>
          <w:lang w:val="en-US" w:eastAsia="zh-CN"/>
        </w:rPr>
        <w:t>china</w:t>
      </w:r>
    </w:p>
    <w:p>
      <w:pPr>
        <w:pStyle w:val="5"/>
        <w:rPr>
          <w:rFonts w:ascii="Arial"/>
          <w:sz w:val="20"/>
        </w:rPr>
      </w:pPr>
    </w:p>
    <w:p>
      <w:pPr>
        <w:pStyle w:val="5"/>
        <w:spacing w:before="3"/>
        <w:rPr>
          <w:rFonts w:ascii="Arial"/>
          <w:sz w:val="21"/>
        </w:rPr>
      </w:pPr>
    </w:p>
    <w:p>
      <w:pPr>
        <w:rPr>
          <w:rFonts w:ascii="Arial"/>
          <w:sz w:val="21"/>
        </w:rPr>
        <w:sectPr>
          <w:headerReference r:id="rId3" w:type="default"/>
          <w:footerReference r:id="rId4" w:type="default"/>
          <w:type w:val="continuous"/>
          <w:pgSz w:w="11910" w:h="16840"/>
          <w:pgMar w:top="1740" w:right="600" w:bottom="840" w:left="620" w:header="541" w:footer="642" w:gutter="0"/>
          <w:cols w:space="720" w:num="1"/>
        </w:sectPr>
      </w:pPr>
    </w:p>
    <w:p>
      <w:pPr>
        <w:pStyle w:val="4"/>
        <w:spacing w:before="147"/>
        <w:jc w:val="both"/>
      </w:pPr>
      <w:r>
        <w:rPr>
          <w:color w:val="BF5A14"/>
        </w:rPr>
        <w:t xml:space="preserve">Abstract </w:t>
      </w:r>
    </w:p>
    <w:p>
      <w:pPr>
        <w:keepNext w:val="0"/>
        <w:keepLines w:val="0"/>
        <w:widowControl/>
        <w:suppressLineNumbers w:val="0"/>
        <w:jc w:val="left"/>
        <w:rPr>
          <w:rFonts w:ascii="Tw Cen MT" w:hAnsi="Tw Cen MT" w:eastAsia="Tw Cen MT" w:cs="Tw Cen MT"/>
          <w:sz w:val="18"/>
          <w:szCs w:val="18"/>
          <w:lang w:val="en-US" w:eastAsia="en-US" w:bidi="ar-SA"/>
        </w:rPr>
      </w:pPr>
      <w:r>
        <w:rPr>
          <w:rFonts w:ascii="Tw Cen MT" w:hAnsi="Tw Cen MT" w:eastAsia="Tw Cen MT" w:cs="Tw Cen MT"/>
          <w:sz w:val="18"/>
          <w:szCs w:val="18"/>
          <w:lang w:val="en-US" w:eastAsia="zh-CN" w:bidi="ar-SA"/>
        </w:rPr>
        <w:t>Gout is a common, painful, and often debilitating rheumatologic disorder that</w:t>
      </w:r>
      <w:r>
        <w:rPr>
          <w:rFonts w:hint="eastAsia" w:cs="Tw Cen MT"/>
          <w:sz w:val="18"/>
          <w:szCs w:val="18"/>
          <w:lang w:val="en-US" w:eastAsia="zh-CN" w:bidi="ar-SA"/>
        </w:rPr>
        <w:t xml:space="preserve"> </w:t>
      </w:r>
      <w:r>
        <w:rPr>
          <w:rFonts w:hint="default" w:ascii="Tw Cen MT" w:hAnsi="Tw Cen MT" w:eastAsia="Tw Cen MT" w:cs="Tw Cen MT"/>
          <w:sz w:val="18"/>
          <w:szCs w:val="18"/>
          <w:lang w:val="en-US" w:eastAsia="zh-CN" w:bidi="ar-SA"/>
        </w:rPr>
        <w:t xml:space="preserve">remains one of the few arthritic conditions that can be diagnosed with certainty and cured with appropriate therapy. Allopurinol is the most frequently prescribed agent for gout in the United States. Unfortunately, most patients treated with allopurinol do not achieve target serum uric acid (sUA) levels, possibly due to a perceived intolerability to allopurinol in doses above 300 mg and the need for reduced doses in patients with renal insufficiency. Febuxostat, an orally administered, nonpurine inhibitor of xanthine oxidase, was recently approved by the U.S. Food and Drug administration for chronic </w:t>
      </w:r>
    </w:p>
    <w:p>
      <w:pPr>
        <w:keepNext w:val="0"/>
        <w:keepLines w:val="0"/>
        <w:widowControl/>
        <w:suppressLineNumbers w:val="0"/>
        <w:jc w:val="left"/>
        <w:rPr>
          <w:rFonts w:ascii="Tw Cen MT" w:hAnsi="Tw Cen MT" w:eastAsia="Tw Cen MT" w:cs="Tw Cen MT"/>
          <w:sz w:val="18"/>
          <w:szCs w:val="18"/>
          <w:lang w:val="en-US" w:eastAsia="en-US" w:bidi="ar-SA"/>
        </w:rPr>
      </w:pPr>
      <w:r>
        <w:rPr>
          <w:rFonts w:hint="default" w:ascii="Tw Cen MT" w:hAnsi="Tw Cen MT" w:eastAsia="Tw Cen MT" w:cs="Tw Cen MT"/>
          <w:sz w:val="18"/>
          <w:szCs w:val="18"/>
          <w:lang w:val="en-US" w:eastAsia="zh-CN" w:bidi="ar-SA"/>
        </w:rPr>
        <w:t xml:space="preserve">management of hyperuricemia in patients with gout. Patients treated with febuxostat achieve rapid and substantial reductions in sUA levels. Compared with allopurinol-treated patients, patients receiving febuxostat 80 mg/day were more likely to achieve sUA concentrations less than 6 mg/dl. In longterm studies (up to 5 yrs), febuxostat demonstrated sustained reductions in sUA levels, nearly complete elimination of gout flares, and a frequency of adverse effects comparable to allopurinol. The most commonly reported adverse effects were liver function abnormalities, rash, nausea, and arthralgias. The recommended starting dose of febuxostat is 40 mg/day, which </w:t>
      </w:r>
    </w:p>
    <w:p>
      <w:pPr>
        <w:keepNext w:val="0"/>
        <w:keepLines w:val="0"/>
        <w:widowControl/>
        <w:suppressLineNumbers w:val="0"/>
        <w:jc w:val="left"/>
        <w:rPr>
          <w:rFonts w:ascii="Tw Cen MT" w:hAnsi="Tw Cen MT" w:eastAsia="Tw Cen MT" w:cs="Tw Cen MT"/>
          <w:sz w:val="18"/>
          <w:szCs w:val="18"/>
          <w:lang w:val="en-US" w:eastAsia="en-US" w:bidi="ar-SA"/>
        </w:rPr>
      </w:pPr>
      <w:r>
        <w:rPr>
          <w:rFonts w:hint="default" w:ascii="Tw Cen MT" w:hAnsi="Tw Cen MT" w:eastAsia="Tw Cen MT" w:cs="Tw Cen MT"/>
          <w:sz w:val="18"/>
          <w:szCs w:val="18"/>
          <w:lang w:val="en-US" w:eastAsia="zh-CN" w:bidi="ar-SA"/>
        </w:rPr>
        <w:t xml:space="preserve">may be increased to 80 mg/day after 2 weeks if patients do not achieve sUA levels less than 6 mg/dl. Dosage adjustment in mild-to-moderate renal insufficiency is unnecessary; however, data are lacking on the safety of febuxostat in patients with severe renal impairment. Although more costly than allopurinol, febuxostat appears to be an acceptable alternative for the treatment of gout and hyperuricemia, and may be advantageous in patients with renal impairment, intolerance to allopurinol, or the inability to attain sUA levels less than 6 mg/dl despite adequate therapy with available agents. </w:t>
      </w:r>
      <w:r>
        <w:rPr>
          <w:rFonts w:ascii="Tw Cen MT" w:hAnsi="Tw Cen MT" w:eastAsia="Tw Cen MT" w:cs="Tw Cen MT"/>
          <w:sz w:val="18"/>
          <w:szCs w:val="18"/>
          <w:lang w:val="en-US" w:eastAsia="zh-CN" w:bidi="ar-SA"/>
        </w:rPr>
        <w:t xml:space="preserve">Key Words: </w:t>
      </w:r>
      <w:r>
        <w:rPr>
          <w:rFonts w:hint="default" w:ascii="Tw Cen MT" w:hAnsi="Tw Cen MT" w:eastAsia="Tw Cen MT" w:cs="Tw Cen MT"/>
          <w:sz w:val="18"/>
          <w:szCs w:val="18"/>
          <w:lang w:val="en-US" w:eastAsia="zh-CN" w:bidi="ar-SA"/>
        </w:rPr>
        <w:t xml:space="preserve">hyperuricemia, uric acid, gout, gouty arthritis, febuxostat, allopurinol. </w:t>
      </w:r>
    </w:p>
    <w:p>
      <w:pPr>
        <w:pStyle w:val="5"/>
        <w:spacing w:before="90" w:line="280" w:lineRule="auto"/>
        <w:ind w:left="100"/>
        <w:jc w:val="both"/>
      </w:pPr>
      <w:r>
        <w:t>.</w:t>
      </w:r>
    </w:p>
    <w:p>
      <w:pPr>
        <w:pStyle w:val="4"/>
        <w:spacing w:before="74"/>
      </w:pPr>
      <w:r>
        <w:rPr>
          <w:b w:val="0"/>
        </w:rPr>
        <w:br w:type="column"/>
      </w:r>
      <w:r>
        <w:rPr>
          <w:color w:val="BF5A14"/>
        </w:rPr>
        <w:t>Image</w:t>
      </w:r>
    </w:p>
    <w:p>
      <w:pPr>
        <w:pStyle w:val="5"/>
        <w:spacing w:before="2"/>
        <w:rPr>
          <w:rFonts w:ascii="Arial"/>
          <w:b/>
          <w:sz w:val="16"/>
        </w:rPr>
      </w:pPr>
      <w:r>
        <w:rPr>
          <w:lang w:val="en-IN" w:eastAsia="en-IN"/>
        </w:rPr>
        <w:drawing>
          <wp:anchor distT="0" distB="0" distL="0" distR="0" simplePos="0" relativeHeight="251658240" behindDoc="0" locked="0" layoutInCell="1" allowOverlap="1">
            <wp:simplePos x="0" y="0"/>
            <wp:positionH relativeFrom="page">
              <wp:posOffset>3872230</wp:posOffset>
            </wp:positionH>
            <wp:positionV relativeFrom="paragraph">
              <wp:posOffset>142875</wp:posOffset>
            </wp:positionV>
            <wp:extent cx="3235960"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6" cstate="print"/>
                    <a:stretch>
                      <a:fillRect/>
                    </a:stretch>
                  </pic:blipFill>
                  <pic:spPr>
                    <a:xfrm>
                      <a:off x="0" y="0"/>
                      <a:ext cx="3235655" cy="1609725"/>
                    </a:xfrm>
                    <a:prstGeom prst="rect">
                      <a:avLst/>
                    </a:prstGeom>
                  </pic:spPr>
                </pic:pic>
              </a:graphicData>
            </a:graphic>
          </wp:anchor>
        </w:drawing>
      </w:r>
    </w:p>
    <w:p>
      <w:pPr>
        <w:spacing w:line="204" w:lineRule="exact"/>
        <w:rPr>
          <w:rFonts w:ascii="Arial"/>
          <w:b/>
          <w:sz w:val="20"/>
        </w:rPr>
      </w:pPr>
      <w:r>
        <w:rPr>
          <w:rFonts w:ascii="Arial"/>
          <w:b/>
          <w:color w:val="BF5A14"/>
          <w:sz w:val="20"/>
        </w:rPr>
        <w:br w:type="textWrapping"/>
      </w:r>
      <w:r>
        <w:rPr>
          <w:rFonts w:ascii="Arial"/>
          <w:b/>
          <w:color w:val="BF5A14"/>
          <w:sz w:val="20"/>
        </w:rPr>
        <w:t xml:space="preserve">Recent Publications </w:t>
      </w:r>
    </w:p>
    <w:p>
      <w:pPr>
        <w:pStyle w:val="12"/>
        <w:numPr>
          <w:ilvl w:val="0"/>
          <w:numId w:val="1"/>
        </w:numPr>
        <w:tabs>
          <w:tab w:val="left" w:pos="384"/>
        </w:tabs>
        <w:spacing w:before="103" w:line="216" w:lineRule="exact"/>
        <w:ind w:right="138" w:hanging="283"/>
        <w:rPr>
          <w:sz w:val="18"/>
        </w:rPr>
      </w:pPr>
      <w:r>
        <w:rPr>
          <w:sz w:val="18"/>
        </w:rPr>
        <w:t>Harper C (2009) The neuropathology of alcohol-related braindamage. Alcohol Alcohol 44:136-140.</w:t>
      </w:r>
    </w:p>
    <w:p>
      <w:pPr>
        <w:pStyle w:val="12"/>
        <w:numPr>
          <w:ilvl w:val="0"/>
          <w:numId w:val="1"/>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pPr>
        <w:pStyle w:val="12"/>
        <w:numPr>
          <w:ilvl w:val="0"/>
          <w:numId w:val="1"/>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pPr>
        <w:pStyle w:val="12"/>
        <w:numPr>
          <w:ilvl w:val="0"/>
          <w:numId w:val="1"/>
        </w:numPr>
        <w:tabs>
          <w:tab w:val="left" w:pos="384"/>
        </w:tabs>
        <w:spacing w:before="92" w:line="218" w:lineRule="exact"/>
        <w:ind w:hanging="283"/>
        <w:rPr>
          <w:sz w:val="18"/>
        </w:rPr>
      </w:pPr>
      <w:r>
        <w:rPr>
          <w:sz w:val="18"/>
        </w:rPr>
        <w:t>Room R, Babor</w:t>
      </w:r>
      <w:r>
        <w:rPr>
          <w:spacing w:val="-10"/>
          <w:sz w:val="18"/>
        </w:rPr>
        <w:t xml:space="preserve">T, </w:t>
      </w:r>
      <w:r>
        <w:rPr>
          <w:sz w:val="18"/>
        </w:rPr>
        <w:t>Rehm J (2005) Alcohol and public health. Lancet</w:t>
      </w:r>
    </w:p>
    <w:p>
      <w:pPr>
        <w:pStyle w:val="5"/>
        <w:spacing w:line="218" w:lineRule="exact"/>
        <w:ind w:left="383"/>
        <w:rPr>
          <w:rFonts w:ascii="Calibri"/>
        </w:rPr>
      </w:pPr>
      <w:r>
        <w:rPr>
          <w:rFonts w:ascii="Calibri"/>
        </w:rPr>
        <w:t>365: 519-530.</w:t>
      </w:r>
    </w:p>
    <w:p>
      <w:pPr>
        <w:pStyle w:val="5"/>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pPr>
        <w:tabs>
          <w:tab w:val="left" w:pos="384"/>
        </w:tabs>
        <w:ind w:right="117"/>
      </w:pPr>
    </w:p>
    <w:p>
      <w:pPr>
        <w:spacing w:line="200" w:lineRule="exact"/>
        <w:jc w:val="both"/>
        <w:rPr>
          <w:rFonts w:ascii="Calibri" w:hAnsi="Calibri"/>
        </w:rPr>
        <w:sectPr>
          <w:type w:val="continuous"/>
          <w:pgSz w:w="11910" w:h="16840"/>
          <w:pgMar w:top="1740" w:right="600" w:bottom="840" w:left="620" w:header="720" w:footer="720" w:gutter="0"/>
          <w:cols w:equalWidth="0" w:num="2">
            <w:col w:w="5214" w:space="138"/>
            <w:col w:w="5338"/>
          </w:cols>
        </w:sectPr>
      </w:pPr>
      <w:r>
        <w:rPr>
          <w:rFonts w:ascii="Calibri" w:hAnsi="Calibri"/>
        </w:rPr>
        <w:t xml:space="preserve">   </w:t>
      </w:r>
    </w:p>
    <w:p>
      <w:pPr>
        <w:pStyle w:val="5"/>
        <w:rPr>
          <w:rFonts w:ascii="Calibri"/>
          <w:b/>
          <w:sz w:val="20"/>
        </w:rPr>
      </w:pPr>
      <w:r>
        <w:rPr>
          <w:rFonts w:ascii="Calibri"/>
          <w:sz w:val="20"/>
        </w:rPr>
        <w:t xml:space="preserve">              </w:t>
      </w:r>
    </w:p>
    <w:p>
      <w:pPr>
        <w:pStyle w:val="5"/>
        <w:spacing w:line="40" w:lineRule="exact"/>
        <w:ind w:left="2202"/>
        <w:rPr>
          <w:rFonts w:ascii="Calibri"/>
          <w:sz w:val="4"/>
        </w:rPr>
      </w:pPr>
      <w:r>
        <w:rPr>
          <w:rFonts w:ascii="Calibri"/>
          <w:sz w:val="4"/>
          <w:lang w:val="en-IN" w:eastAsia="en-IN"/>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38zGR9QEAAEcEAAAOAAAAZHJzL2Uyb0RvYy54bWylk8Fy2yAQ&#10;hu+d6Tsw3GvJiu0kGss5JI0vaZuZtA+AAUnMIGAAW/bbd1lJTuLckgsS7LK7/7fL+u7YaXKQPihr&#10;Kjqf5ZRIw61Qpqnov7+PP24oCZEZwbQ1sqInGejd5vu3de9KWdjWaiE9gSAmlL2raBujK7Ms8FZ2&#10;LMyskwaMtfUdi7D1TSY86yF6p7Miz1dZb71w3nIZApw+DEa6wfh1LXn8U9dBRqIrCrVFXD2uu7Rm&#10;mzUrG89cq/hYBvtEFR1TBpKeQz2wyMjeqw+hOsW9DbaOM267zNa14hI1gJp5fqFm6+3eoZam7Bt3&#10;xgRoLzh9Oiz/fXj2RAno3YISwzroEaYli8Smd00JLlvvXtyzHw+aYZfkHmvfpS8IIUekejpTlcdI&#10;OBxe3V4vr6+WlHCwFctFPlLnLbTmwy3e/hzvrYrVfLi0wBvZlC5LVZ2L6B1MTniFE74G56VlTiLz&#10;kJRPcKD8Ac6TMpIsBzbocW9GMKEMwIjs+l9WAEW2jxZH4oJRAWOYQIwUJkqrohjVvhfLSudD3Erb&#10;kfRTUQ0FYFx2eAoRWgJcJpfUCmMfldY419qQfkKeTMFqJZIVN77Z3WtPDiw9jXyR30yJ37nBCBox&#10;ZNEGkiXcSWeajVDurDihfDyHNqAHTisWNr6s9Bze7tHr9f1v/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ZJRBh1AAAAAMBAAAPAAAAAAAAAAEAIAAAACIAAABkcnMvZG93bnJldi54bWxQSwECFAAU&#10;AAAACACHTuJAd/MxkfUBAABHBAAADgAAAAAAAAABACAAAAAjAQAAZHJzL2Uyb0RvYy54bWxQSwUG&#10;AAAAAAYABgBZAQAAigU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41" w:line="154" w:lineRule="exact"/>
        <w:ind w:left="213" w:right="231"/>
        <w:jc w:val="both"/>
        <w:rPr>
          <w:rFonts w:ascii="Arial"/>
          <w:sz w:val="14"/>
        </w:rPr>
      </w:pPr>
      <w:r>
        <w:t xml:space="preserve">    </w:t>
      </w:r>
    </w:p>
    <w:p>
      <w:pPr>
        <w:spacing w:before="62"/>
        <w:ind w:left="4217" w:right="4235"/>
        <w:jc w:val="center"/>
        <w:rPr>
          <w:rFonts w:ascii="Arial"/>
          <w:sz w:val="14"/>
        </w:rPr>
      </w:pPr>
      <w:r>
        <w:rPr>
          <w:rFonts w:ascii="Arial"/>
          <w:sz w:val="14"/>
        </w:rPr>
        <w:t xml:space="preserve">Email: </w:t>
      </w:r>
      <w:r>
        <w:fldChar w:fldCharType="begin"/>
      </w:r>
      <w:r>
        <w:instrText xml:space="preserve"> HYPERLINK "mailto:drXXXXXXX@xxxmail.com" </w:instrText>
      </w:r>
      <w:r>
        <w:fldChar w:fldCharType="separate"/>
      </w:r>
      <w:r>
        <w:rPr>
          <w:rStyle w:val="11"/>
          <w:rFonts w:hint="eastAsia" w:ascii="Arial" w:eastAsia="宋体"/>
          <w:sz w:val="14"/>
          <w:lang w:val="en-US" w:eastAsia="zh-CN"/>
        </w:rPr>
        <w:t>710945560</w:t>
      </w:r>
      <w:r>
        <w:rPr>
          <w:rStyle w:val="11"/>
          <w:rFonts w:ascii="Arial"/>
          <w:sz w:val="14"/>
        </w:rPr>
        <w:t>@</w:t>
      </w:r>
      <w:r>
        <w:rPr>
          <w:rStyle w:val="11"/>
          <w:rFonts w:hint="eastAsia" w:ascii="Arial" w:eastAsia="宋体"/>
          <w:sz w:val="14"/>
          <w:lang w:val="en-US" w:eastAsia="zh-CN"/>
        </w:rPr>
        <w:t>qq</w:t>
      </w:r>
      <w:r>
        <w:rPr>
          <w:rStyle w:val="11"/>
          <w:rFonts w:ascii="Arial"/>
          <w:sz w:val="14"/>
        </w:rPr>
        <w:t>.com</w:t>
      </w:r>
      <w:r>
        <w:rPr>
          <w:rStyle w:val="11"/>
          <w:rFonts w:ascii="Arial"/>
          <w:sz w:val="14"/>
        </w:rPr>
        <w:fldChar w:fldCharType="end"/>
      </w:r>
      <w:bookmarkStart w:id="0" w:name="_GoBack"/>
      <w:bookmarkEnd w:id="0"/>
    </w:p>
    <w:p>
      <w:pPr>
        <w:pStyle w:val="5"/>
        <w:spacing w:before="2"/>
        <w:rPr>
          <w:rFonts w:ascii="Arial"/>
          <w:sz w:val="19"/>
        </w:rPr>
      </w:pPr>
      <w:r>
        <w:rPr>
          <w:lang w:val="en-IN" w:eastAsia="en-IN"/>
        </w:rPr>
        <mc:AlternateContent>
          <mc:Choice Requires="wps">
            <w:drawing>
              <wp:anchor distT="0" distB="0" distL="0" distR="0" simplePos="0" relativeHeight="204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04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JpzptexAQAAUgMAAA4AAABkcnMvZTJvRG9jLnhtbK1TTY/b&#10;IBC9V+p/QNwbnDi7Wllx9pDV9pK2kXb7AwhgGy0wCEjs/PsO5KPd9lbtBRlm5s17b8arx8kaclQh&#10;anAtnc8qSpQTILXrW/rz9fnLAyUxcSe5AadaelKRPq4/f1qNvlELGMBIFQiCuNiMvqVDSr5hLIpB&#10;WR5n4JXDYAfB8oTX0DMZ+Ijo1rBFVd2zEYL0AYSKEV+fzkG6Lvhdp0T60XVRJWJaitxSOUM59/lk&#10;6xVv+sD9oMWFBv8PFpZrh01vUE88cXII+h8oq0WACF2aCbAMuk4LVTSgmnn1l5qXgXtVtKA50d9s&#10;ih8HK74fd4FoibOrKXHc4oy22ilSZ2tGHxvM2LhdyOLE5F78FsRbJA42A3e9KhRfTx7L5rmCvSvJ&#10;l+ixwX78BhJz+CFB8Wnqgs2Q6ACZyjhOt3GoKRGBj/VyuajrO0rENcZ4cy30IaavCizJHy01yLkA&#10;8+M2pkyEN9eU3MfBszamTNs4Mrb0vr6rSkEEo2UO5rQY+v3GBHLkeV+qZfVQVgTB3qUFODh5bmLc&#10;RXTWeXZsD/K0C1czcHCFzWXJ8mb8eS/Vv3+F9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OKUBv&#10;1gAAAAkBAAAPAAAAAAAAAAEAIAAAACIAAABkcnMvZG93bnJldi54bWxQSwECFAAUAAAACACHTuJA&#10;mnOm17EBAABSAwAADgAAAAAAAAABACAAAAAlAQAAZHJzL2Uyb0RvYy54bWxQSwUGAAAAAAYABgBZ&#10;AQAASAUAAAAA&#10;">
                <v:fill on="f" focussize="0,0"/>
                <v:stroke weight="0.5pt" color="#004080" joinstyle="round"/>
                <v:imagedata o:title=""/>
                <o:lock v:ext="edit" aspectratio="f"/>
                <w10:wrap type="topAndBottom"/>
              </v:line>
            </w:pict>
          </mc:Fallback>
        </mc:AlternateContent>
      </w:r>
    </w:p>
    <w:p>
      <w:pPr>
        <w:pStyle w:val="5"/>
        <w:rPr>
          <w:rFonts w:ascii="Arial"/>
          <w:sz w:val="20"/>
        </w:rPr>
      </w:pPr>
    </w:p>
    <w:p>
      <w:pPr>
        <w:pStyle w:val="5"/>
        <w:rPr>
          <w:rFonts w:ascii="Arial"/>
          <w:sz w:val="20"/>
        </w:rPr>
      </w:pPr>
    </w:p>
    <w:p>
      <w:pPr>
        <w:pStyle w:val="5"/>
        <w:spacing w:before="7"/>
        <w:rPr>
          <w:rFonts w:ascii="Arial"/>
          <w:sz w:val="29"/>
        </w:rPr>
      </w:pPr>
    </w:p>
    <w:p>
      <w:pPr>
        <w:spacing w:before="39"/>
        <w:ind w:left="100"/>
        <w:rPr>
          <w:rFonts w:ascii="Minion Pro"/>
          <w:b/>
          <w:sz w:val="20"/>
        </w:rPr>
      </w:pPr>
      <w:r>
        <w:rPr>
          <w:rFonts w:ascii="Minion Pro"/>
          <w:b/>
          <w:sz w:val="20"/>
        </w:rPr>
        <w:t>Notes/Comments:</w:t>
      </w:r>
    </w:p>
    <w:p>
      <w:pPr>
        <w:rPr>
          <w:rFonts w:ascii="Minion Pro"/>
          <w:sz w:val="24"/>
        </w:rPr>
        <w:sectPr>
          <w:type w:val="continuous"/>
          <w:pgSz w:w="11910" w:h="16840"/>
          <w:pgMar w:top="1740" w:right="600" w:bottom="840" w:left="620" w:header="720" w:footer="720" w:gutter="0"/>
          <w:cols w:space="720" w:num="1"/>
        </w:sectPr>
      </w:pPr>
    </w:p>
    <w:p>
      <w:pPr>
        <w:pStyle w:val="5"/>
        <w:spacing w:before="3"/>
        <w:rPr>
          <w:rFonts w:ascii="Minion Pro"/>
          <w:sz w:val="26"/>
        </w:rPr>
      </w:pPr>
    </w:p>
    <w:p>
      <w:pPr>
        <w:pStyle w:val="5"/>
        <w:spacing w:before="3"/>
        <w:rPr>
          <w:rFonts w:ascii="Minion Pro"/>
          <w:sz w:val="26"/>
        </w:rPr>
      </w:pPr>
    </w:p>
    <w:p>
      <w:pPr>
        <w:pStyle w:val="5"/>
        <w:spacing w:before="3"/>
        <w:rPr>
          <w:rFonts w:ascii="Minion Pro"/>
          <w:sz w:val="26"/>
        </w:rPr>
      </w:pPr>
    </w:p>
    <w:p>
      <w:pPr>
        <w:pStyle w:val="5"/>
        <w:spacing w:before="3"/>
        <w:rPr>
          <w:rFonts w:ascii="Minion Pro"/>
          <w:sz w:val="26"/>
        </w:rPr>
      </w:pPr>
    </w:p>
    <w:p>
      <w:pPr>
        <w:pStyle w:val="5"/>
        <w:spacing w:before="3"/>
        <w:rPr>
          <w:rFonts w:ascii="Minion Pro"/>
          <w:sz w:val="26"/>
        </w:rPr>
      </w:pPr>
    </w:p>
    <w:p>
      <w:pPr>
        <w:pStyle w:val="5"/>
        <w:spacing w:before="3"/>
        <w:rPr>
          <w:rFonts w:ascii="Minion Pro"/>
          <w:sz w:val="26"/>
        </w:rPr>
      </w:pPr>
    </w:p>
    <w:p>
      <w:pPr>
        <w:pStyle w:val="5"/>
        <w:spacing w:before="3"/>
        <w:rPr>
          <w:rFonts w:ascii="Minion Pro"/>
          <w:sz w:val="26"/>
        </w:rPr>
      </w:pPr>
    </w:p>
    <w:p>
      <w:pPr>
        <w:pStyle w:val="5"/>
        <w:spacing w:before="3"/>
        <w:rPr>
          <w:rFonts w:ascii="Minion Pro"/>
          <w:sz w:val="26"/>
        </w:rPr>
      </w:pPr>
    </w:p>
    <w:p>
      <w:pPr>
        <w:pStyle w:val="5"/>
        <w:spacing w:before="3"/>
        <w:rPr>
          <w:rFonts w:ascii="Minion Pro"/>
          <w:sz w:val="26"/>
        </w:rPr>
      </w:pPr>
    </w:p>
    <w:p>
      <w:pPr>
        <w:pStyle w:val="5"/>
        <w:spacing w:before="3"/>
        <w:rPr>
          <w:rFonts w:ascii="Minion Pro"/>
          <w:sz w:val="26"/>
        </w:rPr>
      </w:pPr>
    </w:p>
    <w:p>
      <w:pPr>
        <w:pStyle w:val="5"/>
        <w:spacing w:before="3"/>
        <w:rPr>
          <w:rFonts w:ascii="Minion Pro"/>
          <w:sz w:val="26"/>
        </w:rPr>
      </w:pPr>
    </w:p>
    <w:p>
      <w:pPr>
        <w:pStyle w:val="5"/>
        <w:spacing w:before="3"/>
        <w:rPr>
          <w:rFonts w:ascii="Minion Pro"/>
          <w:sz w:val="26"/>
        </w:rPr>
      </w:pPr>
    </w:p>
    <w:p>
      <w:pPr>
        <w:pStyle w:val="5"/>
        <w:spacing w:before="3"/>
        <w:rPr>
          <w:rFonts w:ascii="Minion Pro"/>
          <w:sz w:val="26"/>
        </w:rPr>
      </w:pPr>
    </w:p>
    <w:p>
      <w:pPr>
        <w:pStyle w:val="5"/>
        <w:spacing w:before="3"/>
        <w:rPr>
          <w:rFonts w:ascii="Minion Pro"/>
          <w:sz w:val="26"/>
        </w:rPr>
      </w:pPr>
    </w:p>
    <w:p>
      <w:pPr>
        <w:pStyle w:val="5"/>
        <w:spacing w:before="3"/>
        <w:rPr>
          <w:rFonts w:ascii="Minion Pro"/>
          <w:sz w:val="26"/>
        </w:rPr>
      </w:pPr>
    </w:p>
    <w:p>
      <w:pPr>
        <w:pStyle w:val="5"/>
        <w:spacing w:before="3"/>
        <w:rPr>
          <w:rFonts w:ascii="Minion Pro"/>
          <w:sz w:val="26"/>
        </w:rPr>
      </w:pPr>
    </w:p>
    <w:p>
      <w:pPr>
        <w:pStyle w:val="5"/>
        <w:spacing w:before="3"/>
        <w:rPr>
          <w:rFonts w:ascii="Minion Pro"/>
          <w:sz w:val="26"/>
        </w:rPr>
      </w:pPr>
    </w:p>
    <w:p>
      <w:pPr>
        <w:pStyle w:val="5"/>
        <w:spacing w:before="3"/>
        <w:rPr>
          <w:rFonts w:ascii="Minion Pro"/>
          <w:sz w:val="26"/>
        </w:rPr>
      </w:pPr>
    </w:p>
    <w:p>
      <w:pPr>
        <w:pStyle w:val="5"/>
        <w:spacing w:before="3"/>
        <w:rPr>
          <w:rFonts w:ascii="Minion Pro"/>
          <w:sz w:val="26"/>
        </w:rPr>
      </w:pPr>
    </w:p>
    <w:p>
      <w:pPr>
        <w:pStyle w:val="5"/>
        <w:spacing w:before="3"/>
        <w:rPr>
          <w:rFonts w:ascii="Minion Pro"/>
          <w:sz w:val="26"/>
        </w:rPr>
      </w:pPr>
    </w:p>
    <w:p>
      <w:pPr>
        <w:pStyle w:val="5"/>
        <w:spacing w:before="3"/>
        <w:rPr>
          <w:rFonts w:ascii="Minion Pro"/>
          <w:sz w:val="26"/>
        </w:rPr>
      </w:pPr>
    </w:p>
    <w:p>
      <w:pPr>
        <w:pStyle w:val="5"/>
        <w:spacing w:before="3"/>
        <w:rPr>
          <w:rFonts w:ascii="Tw Cen MT" w:hAnsi="Tw Cen MT" w:eastAsia="Tw Cen MT" w:cs="Tw Cen MT"/>
          <w:sz w:val="18"/>
          <w:szCs w:val="18"/>
          <w:lang w:val="en-US" w:eastAsia="en-US" w:bidi="ar-SA"/>
        </w:rPr>
      </w:pP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Tw Cen MT">
    <w:panose1 w:val="020B0602020104020603"/>
    <w:charset w:val="00"/>
    <w:family w:val="swiss"/>
    <w:pitch w:val="default"/>
    <w:sig w:usb0="00000003" w:usb1="00000000" w:usb2="00000000" w:usb3="00000000" w:csb0="20000003" w:csb1="00000000"/>
  </w:font>
  <w:font w:name="Minion Pro">
    <w:altName w:val="Cambria Math"/>
    <w:panose1 w:val="00000000000000000000"/>
    <w:charset w:val="00"/>
    <w:family w:val="roman"/>
    <w:pitch w:val="default"/>
    <w:sig w:usb0="00000000" w:usb1="00000000" w:usb2="00000000" w:usb3="00000000" w:csb0="0000019F" w:csb1="00000000"/>
  </w:font>
  <w:font w:name="Arial">
    <w:panose1 w:val="020B0604020202020204"/>
    <w:charset w:val="00"/>
    <w:family w:val="swiss"/>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Cambria Math">
    <w:panose1 w:val="02040503050406030204"/>
    <w:charset w:val="00"/>
    <w:family w:val="auto"/>
    <w:pitch w:val="default"/>
    <w:sig w:usb0="E00002FF" w:usb1="420024FF" w:usb2="00000000" w:usb3="00000000" w:csb0="2000019F" w:csb1="00000000"/>
  </w:font>
  <w:font w:name="Corbel">
    <w:panose1 w:val="020B0503020204020204"/>
    <w:charset w:val="00"/>
    <w:family w:val="auto"/>
    <w:pitch w:val="default"/>
    <w:sig w:usb0="A00002EF" w:usb1="4000A44B" w:usb2="00000000" w:usb3="00000000" w:csb0="2000019F" w:csb1="00000000"/>
  </w:font>
  <w:font w:name="BerkeleyStd-Medium">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BerkeleyStd-Bold">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5120;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CAkC5P4gEAALYDAAAOAAAAZHJzL2Uyb0RvYy54bWyt&#10;U8Fu2zAMvQ/YPwi6L47TomiNOEXXosOAbivQ7gMYWbaF2aJGKbGzrx8lx1m33opdBJqknt57pNfX&#10;Y9+JvSZv0JYyXyyl0FZhZWxTyu/P9x8upfABbAUdWl3Kg/byevP+3XpwhV5hi12lSTCI9cXgStmG&#10;4Ios86rVPfgFOm25WCP1EPiTmqwiGBi977LVcnmRDUiVI1Tae87eTUW5Sfh1rVX4VtdeB9GVkrmF&#10;dFI6t/HMNmsoGgLXGnWkAW9g0YOx/OgJ6g4CiB2ZV1C9UYQe67BQ2GdY10bppIHV5Mt/1Dy14HTS&#10;wuZ4d7LJ/z9Y9XX/SMJUpbySwkLPI3rWYxAfcRRn0Z3B+YKbnhy3hZHTPOWk1LsHVD+8sHjbgm30&#10;DREOrYaK2eXxZvbi6oTjI8h2+IIVPwO7gAlorKmP1rEZgtF5SofTZCIVxclVfnaRn3NJcW11fnm1&#10;SqPLoJhvO/Lhk8ZexKCUxJNP6LB/8CGygWJuiY9ZvDddl6bf2b8S3BgziX0kPFEP43Y8urHF6sA6&#10;CKdl4uXnoEX6JcXAi1RK/3MHpKXoPlv2Im7dHNAcbOcArOKrpQxSTOFtmLZz58g0LSNPblu8Yb9q&#10;k6REYycWR568HEnhcZHj9r38Tl1/frfN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AJbqTaAAAA&#10;DAEAAA8AAAAAAAAAAQAgAAAAIgAAAGRycy9kb3ducmV2LnhtbFBLAQIUABQAAAAIAIdO4kCAkC5P&#10;4gEAALYDAAAOAAAAAAAAAAEAIAAAACkBAABkcnMvZTJvRG9jLnhtbFBLBQYAAAAABgAGAFkBAAB9&#10;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5120;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Bb0Vk74QEAALYDAAAOAAAAZHJzL2Uyb0RvYy54bWyt&#10;U9tu2zAMfR+wfxD0vjhOsaww4hRdiw4Duq1Auw+gZTkWZosapcTOvn6UHGfd+lbsRaB5OTw8pDdX&#10;Y9+JgyZv0JYyXyyl0FZhbeyulN+f7t5dSuED2Bo6tLqUR+3l1fbtm83gCr3CFrtak2AQ64vBlbIN&#10;wRVZ5lWre/ALdNpysEHqIfAn7bKaYGD0vstWy+U6G5BqR6i09+y9nYJym/CbRqvwrWm8DqIrJXML&#10;6aX0VvHNthsodgSuNepEA17BogdjuekZ6hYCiD2ZF1C9UYQem7BQ2GfYNEbpNANPky//meaxBafT&#10;LCyOd2eZ/P+DVV8PDyRMXUpelIWeV/SkxyA+4ihWUZ3B+YKTHh2nhZHdvOU0qXf3qH54YfGmBbvT&#10;10Q4tBpqZpfHyuxZ6YTjI0g1fMGa28A+YAIaG+qjdCyGYHTe0vG8mUhFxZb5+kN+wSHFsYt8fbl+&#10;n1pAMVc78uGTxl5Eo5TEm0/ocLj3IbKBYk6JzSzema5L2+/sXw5OjJ7EPhKeqIexGk9qVFgfeQ7C&#10;6Zj4+NlokX5JMfAhldL/3ANpKbrPlrWIVzcbNBvVbIBVXFrKIMVk3oTpOveOzK5l5Elti9esV2PS&#10;KFHYicWJJx9HmvB0yPH6nn+nrD+/2/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gNYJNoAAAAN&#10;AQAADwAAAAAAAAABACAAAAAiAAAAZHJzL2Rvd25yZXYueG1sUEsBAhQAFAAAAAgAh07iQFvRWTvh&#10;AQAAtgMAAA4AAAAAAAAAAQAgAAAAKQEAAGRycy9lMm9Eb2MueG1sUEsFBgAAAAAGAAYAWQEAAHwF&#10;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5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CiROPeABAAC2AwAADgAAAGRycy9lMm9Eb2MueG1s&#10;rVPbbtswDH0fsH8Q9L7YabA2MOIUXYsOA7oL0O4DFFmyhVmiRimxs68fJcdZ174NexFoXg4PD+nN&#10;9Wh7dlAYDLiaLxclZ8pJaIxra/796f7dmrMQhWtED07V/KgCv96+fbMZfKUuoIO+UcgIxIVq8DXv&#10;YvRVUQTZKSvCArxyFNSAVkT6xLZoUAyEbvvioiwviwGw8QhShUDeuynItxlfayXjV62DiqyvOXGL&#10;+cX87tJbbDeialH4zsgTDfEPLKwwjpqeoe5EFGyP5hWUNRIhgI4LCbYArY1UeQaaZlm+mOaxE17l&#10;WUic4M8yhf8HK78cviEzTc2vOHPC0oqe1BjZBxjZMqkz+FBR0qOntDiSm7acJw3+AeSPwBzcdsK1&#10;6gYRhk6JhtjlyuJZ6YQTEshu+AwNtRH7CBlo1GiTdCQGI3Ta0vG8mURFppbLy/JqTSFJsdWqXK/e&#10;J3KFqOZqjyF+VGBZMmqOtPmMLg4PIU6pc0pq5uDe9H3efu/+chBm8mT2ifBEPY678aTGDpojzYEw&#10;HRMdPxkd4C/OBjqkmoefe4GKs/6TIy3S1c0GzsZuNoSTVFrzyNlk3sbpOvceTdsR8qS2gxvSS5s8&#10;ShJ2YnHiSceRxTgdcrq+598568/vtv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bMZ2dsAAAAO&#10;AQAADwAAAAAAAAABACAAAAAiAAAAZHJzL2Rvd25yZXYueG1sUEsBAhQAFAAAAAgAh07iQAokTj3g&#10;AQAAtgMAAA4AAAAAAAAAAQAgAAAAKgEAAGRycy9lMm9Eb2MueG1sUEsFBgAAAAAGAAYAWQEAAHwF&#10;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left:416pt;margin-top:26.05pt;height:17.4pt;width:144.3pt;mso-position-horizontal-relative:page;mso-position-vertical-relative:page;z-index:-5120;mso-width-relative:page;mso-height-relative:page;" filled="f" stroked="f" coordsize="21600,21600" o:gfxdata="UEsDBAoAAAAAAIdO4kAAAAAAAAAAAAAAAAAEAAAAZHJzL1BLAwQUAAAACACHTuJAKdYriNkAAAAK&#10;AQAADwAAAGRycy9kb3ducmV2LnhtbE2PzU7DMBCE70h9B2srcaN2UhG1IU5VIXpCQqThwNGJt4nV&#10;eJ3G7g9vj3uC42hGM98Um5sd2AUnbxxJSBYCGFLrtKFOwle9e1oB80GRVoMjlPCDHjbl7KFQuXZX&#10;qvCyDx2LJeRzJaEPYcw5922PVvmFG5Gid3CTVSHKqeN6UtdYbgeeCpFxqwzFhV6N+Npje9yfrYTt&#10;N1Vv5vTRfFaHytT1WtB7dpTycZ6IF2ABb+EvDHf8iA5lZGrcmbRng4TVMo1fgoTnNAF2DySpyIA1&#10;0crWwMuC/79Q/gJQSwMEFAAAAAgAh07iQFkTtvzhAQAAtwMAAA4AAABkcnMvZTJvRG9jLnhtbK1T&#10;247TMBB9R+IfLL/TNEWsStR0texqEdJykXb5gKnjNBaxx4zdJuXrGTtNWeAN8WJN5nLmzJnJ5nq0&#10;vThqCgZdLcvFUgrtFDbG7Wv59en+1VqKEME10KPTtTzpIK+3L19sBl/pFXbYN5oEg7hQDb6WXYy+&#10;KoqgOm0hLNBrx8EWyULkT9oXDcHA6LYvVsvlVTEgNZ5Q6RDYezcF5Tbjt61W8XPbBh1FX0vmFvNL&#10;+d2lt9huoNoT+M6oMw34BxYWjOOmF6g7iCAOZP6CskYRBmzjQqEtsG2N0nkGnqZc/jHNYwde51lY&#10;nOAvMoX/B6s+Hb+QMA3vrpTCgeUdPekxinc4ijdJnsGHirMePefFkd2cmkcN/gHVtyAc3nbg9vqG&#10;CIdOQ8P0ylRZPCudcEIC2Q0fseE2cIiYgcaWbNKO1RCMzms6XVaTqKjUcv16dVVySHFstVq+Xefd&#10;FVDN1Z5CfK/RimTUknj1GR2ODyEmNlDNKamZw3vT93n9vfvNwYnJk9knwhP1OO7Gsxo7bE48B+F0&#10;TXz9bHRIP6QY+JJqGb4fgLQU/QfHWqSzmw2ajd1sgFNcWssoxWTexuk8D57MvmPkSW2HN6xXa/Io&#10;SdiJxZknX0ee8HzJ6fyef+esX//b9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p1iuI2QAAAAoB&#10;AAAPAAAAAAAAAAEAIAAAACIAAABkcnMvZG93bnJldi54bWxQSwECFAAUAAAACACHTuJAWRO2/OEB&#10;AAC3AwAADgAAAAAAAAABACAAAAAoAQAAZHJzL2Uyb0RvYy54bWxQSwUGAAAAAAYABgBZAQAAewUA&#10;AAAA&#10;">
              <v:fill on="f" focussize="0,0"/>
              <v:stroke on="f"/>
              <v:imagedata o:title=""/>
              <o:lock v:ext="edit" aspectratio="f"/>
              <v:textbox inset="0mm,0mm,0mm,0mm">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35pt;margin-top:48.3pt;height:40.1pt;width:515.95pt;mso-position-horizontal-relative:page;mso-position-vertical-relative:page;z-index:-5120;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sUFBEuIBAAC3AwAADgAAAGRycy9lMm9Eb2MueG1srVPB&#10;jtMwEL0j8Q+W7zRtRQtETVfLrhYhLSzSLh8wcZzEIvGYsdukfD1jpykL3BAXazKeeX7z5mV3Nfad&#10;OGryBm0hV4ulFNoqrIxtCvn16e7VWyl8AFtBh1YX8qS9vNq/fLEbXK7X2GJXaRIMYn0+uEK2Ibg8&#10;y7xqdQ9+gU5bvqyRegj8SU1WEQyM3nfZerncZgNS5QiV9p6zt9Ol3Cf8utYqPNS110F0hWRuIZ2U&#10;zjKe2X4HeUPgWqPONOAfWPRgLD96gbqFAOJA5i+o3ihCj3VYKOwzrGujdJqBp1kt/5jmsQWn0yws&#10;jncXmfz/g1Wfj19ImIp3x/JY6HlHT3oM4j2O4nWUZ3A+56pHx3Vh5DSXplG9u0f1zQuLNy3YRl8T&#10;4dBqqJjeKnZmz1onHB9ByuETVvwMHAImoLGmPmrHaghGZx6ny2oiFcXJ7Waz3mw3Uii+2yzfrd+k&#10;3WWQz92OfPigsRcxKCTx6hM6HO99iGwgn0viYxbvTNel9Xf2twQXxkxiHwlP1MNYjmc1SqxOPAfh&#10;5CZ2Pwct0g8pBnZSIf33A5CWovtoWYtouzmgOSjnAKzi1kIGKabwJkz2PDgyTcvIk9oWr1mv2qRR&#10;orATizNPdkea8OzkaL/n36nq1/+2/w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ML0Fa2AAAAAoB&#10;AAAPAAAAAAAAAAEAIAAAACIAAABkcnMvZG93bnJldi54bWxQSwECFAAUAAAACACHTuJAsUFBEuIB&#10;AAC3AwAADgAAAAAAAAABACAAAAAnAQAAZHJzL2Uyb0RvYy54bWxQSwUGAAAAAAYABgBZAQAAewUA&#10;AAAA&#10;">
              <v:fill on="f" focussize="0,0"/>
              <v:stroke on="f"/>
              <v:imagedata o:title=""/>
              <o:lock v:ext="edit" aspectratio="f"/>
              <v:textbox inset="0mm,0mm,0mm,0mm">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multilevel"/>
    <w:tmpl w:val="31C80552"/>
    <w:lvl w:ilvl="0" w:tentative="0">
      <w:start w:val="1"/>
      <w:numFmt w:val="decimal"/>
      <w:lvlText w:val="%1."/>
      <w:lvlJc w:val="left"/>
      <w:pPr>
        <w:ind w:left="383" w:hanging="284"/>
      </w:pPr>
      <w:rPr>
        <w:rFonts w:hint="default" w:ascii="Calibri" w:hAnsi="Calibri" w:eastAsia="Calibri" w:cs="Calibri"/>
        <w:spacing w:val="-16"/>
        <w:w w:val="100"/>
        <w:sz w:val="18"/>
        <w:szCs w:val="18"/>
      </w:rPr>
    </w:lvl>
    <w:lvl w:ilvl="1" w:tentative="0">
      <w:start w:val="1"/>
      <w:numFmt w:val="bullet"/>
      <w:lvlText w:val="•"/>
      <w:lvlJc w:val="left"/>
      <w:pPr>
        <w:ind w:left="877" w:hanging="284"/>
      </w:pPr>
      <w:rPr>
        <w:rFonts w:hint="default"/>
      </w:rPr>
    </w:lvl>
    <w:lvl w:ilvl="2" w:tentative="0">
      <w:start w:val="1"/>
      <w:numFmt w:val="bullet"/>
      <w:lvlText w:val="•"/>
      <w:lvlJc w:val="left"/>
      <w:pPr>
        <w:ind w:left="1374" w:hanging="284"/>
      </w:pPr>
      <w:rPr>
        <w:rFonts w:hint="default"/>
      </w:rPr>
    </w:lvl>
    <w:lvl w:ilvl="3" w:tentative="0">
      <w:start w:val="1"/>
      <w:numFmt w:val="bullet"/>
      <w:lvlText w:val="•"/>
      <w:lvlJc w:val="left"/>
      <w:pPr>
        <w:ind w:left="1871" w:hanging="284"/>
      </w:pPr>
      <w:rPr>
        <w:rFonts w:hint="default"/>
      </w:rPr>
    </w:lvl>
    <w:lvl w:ilvl="4" w:tentative="0">
      <w:start w:val="1"/>
      <w:numFmt w:val="bullet"/>
      <w:lvlText w:val="•"/>
      <w:lvlJc w:val="left"/>
      <w:pPr>
        <w:ind w:left="2369" w:hanging="284"/>
      </w:pPr>
      <w:rPr>
        <w:rFonts w:hint="default"/>
      </w:rPr>
    </w:lvl>
    <w:lvl w:ilvl="5" w:tentative="0">
      <w:start w:val="1"/>
      <w:numFmt w:val="bullet"/>
      <w:lvlText w:val="•"/>
      <w:lvlJc w:val="left"/>
      <w:pPr>
        <w:ind w:left="2866" w:hanging="284"/>
      </w:pPr>
      <w:rPr>
        <w:rFonts w:hint="default"/>
      </w:rPr>
    </w:lvl>
    <w:lvl w:ilvl="6" w:tentative="0">
      <w:start w:val="1"/>
      <w:numFmt w:val="bullet"/>
      <w:lvlText w:val="•"/>
      <w:lvlJc w:val="left"/>
      <w:pPr>
        <w:ind w:left="3363" w:hanging="284"/>
      </w:pPr>
      <w:rPr>
        <w:rFonts w:hint="default"/>
      </w:rPr>
    </w:lvl>
    <w:lvl w:ilvl="7" w:tentative="0">
      <w:start w:val="1"/>
      <w:numFmt w:val="bullet"/>
      <w:lvlText w:val="•"/>
      <w:lvlJc w:val="left"/>
      <w:pPr>
        <w:ind w:left="3860" w:hanging="284"/>
      </w:pPr>
      <w:rPr>
        <w:rFonts w:hint="default"/>
      </w:rPr>
    </w:lvl>
    <w:lvl w:ilvl="8" w:tentative="0">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C33602"/>
    <w:rsid w:val="00CD6F55"/>
    <w:rsid w:val="00D62425"/>
    <w:rsid w:val="00DE3104"/>
    <w:rsid w:val="00F72EEA"/>
    <w:rsid w:val="00F8136A"/>
    <w:rsid w:val="00F84CAE"/>
    <w:rsid w:val="67B2491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10">
    <w:name w:val="Default Paragraph Font"/>
    <w:semiHidden/>
    <w:unhideWhenUsed/>
    <w:uiPriority w:val="1"/>
  </w:style>
  <w:style w:type="table" w:default="1" w:styleId="9">
    <w:name w:val="Normal Table"/>
    <w:semiHidden/>
    <w:unhideWhenUsed/>
    <w:uiPriority w:val="99"/>
    <w:tblPr>
      <w:tblLayout w:type="fixed"/>
      <w:tblCellMar>
        <w:top w:w="0" w:type="dxa"/>
        <w:left w:w="108" w:type="dxa"/>
        <w:bottom w:w="0" w:type="dxa"/>
        <w:right w:w="108" w:type="dxa"/>
      </w:tblCellMar>
    </w:tblPr>
  </w:style>
  <w:style w:type="paragraph" w:styleId="5">
    <w:name w:val="Body Text"/>
    <w:basedOn w:val="1"/>
    <w:link w:val="17"/>
    <w:qFormat/>
    <w:uiPriority w:val="1"/>
    <w:rPr>
      <w:sz w:val="18"/>
      <w:szCs w:val="18"/>
    </w:rPr>
  </w:style>
  <w:style w:type="paragraph" w:styleId="6">
    <w:name w:val="Balloon Text"/>
    <w:basedOn w:val="1"/>
    <w:link w:val="16"/>
    <w:semiHidden/>
    <w:unhideWhenUsed/>
    <w:uiPriority w:val="99"/>
    <w:rPr>
      <w:rFonts w:ascii="Tahoma" w:hAnsi="Tahoma" w:cs="Tahoma"/>
      <w:sz w:val="16"/>
      <w:szCs w:val="16"/>
    </w:rPr>
  </w:style>
  <w:style w:type="paragraph" w:styleId="7">
    <w:name w:val="footer"/>
    <w:basedOn w:val="1"/>
    <w:link w:val="15"/>
    <w:unhideWhenUsed/>
    <w:uiPriority w:val="99"/>
    <w:pPr>
      <w:tabs>
        <w:tab w:val="center" w:pos="4513"/>
        <w:tab w:val="right" w:pos="9026"/>
      </w:tabs>
    </w:pPr>
  </w:style>
  <w:style w:type="paragraph" w:styleId="8">
    <w:name w:val="header"/>
    <w:basedOn w:val="1"/>
    <w:link w:val="14"/>
    <w:unhideWhenUsed/>
    <w:uiPriority w:val="99"/>
    <w:pPr>
      <w:tabs>
        <w:tab w:val="center" w:pos="4513"/>
        <w:tab w:val="right" w:pos="9026"/>
      </w:tabs>
    </w:pPr>
  </w:style>
  <w:style w:type="character" w:styleId="11">
    <w:name w:val="Hyperlink"/>
    <w:basedOn w:val="10"/>
    <w:unhideWhenUsed/>
    <w:uiPriority w:val="99"/>
    <w:rPr>
      <w:color w:val="0000FF" w:themeColor="hyperlink"/>
      <w:u w:val="single"/>
      <w14:textFill>
        <w14:solidFill>
          <w14:schemeClr w14:val="hlink"/>
        </w14:solidFill>
      </w14:textFill>
    </w:rPr>
  </w:style>
  <w:style w:type="paragraph"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Header Char"/>
    <w:basedOn w:val="10"/>
    <w:link w:val="8"/>
    <w:uiPriority w:val="99"/>
    <w:rPr>
      <w:rFonts w:ascii="Tw Cen MT" w:hAnsi="Tw Cen MT" w:eastAsia="Tw Cen MT" w:cs="Tw Cen MT"/>
    </w:rPr>
  </w:style>
  <w:style w:type="character" w:customStyle="1" w:styleId="15">
    <w:name w:val="Footer Char"/>
    <w:basedOn w:val="10"/>
    <w:link w:val="7"/>
    <w:uiPriority w:val="99"/>
    <w:rPr>
      <w:rFonts w:ascii="Tw Cen MT" w:hAnsi="Tw Cen MT" w:eastAsia="Tw Cen MT" w:cs="Tw Cen MT"/>
    </w:rPr>
  </w:style>
  <w:style w:type="character" w:customStyle="1" w:styleId="16">
    <w:name w:val="Balloon Text Char"/>
    <w:basedOn w:val="10"/>
    <w:link w:val="6"/>
    <w:semiHidden/>
    <w:uiPriority w:val="99"/>
    <w:rPr>
      <w:rFonts w:ascii="Tahoma" w:hAnsi="Tahoma" w:eastAsia="Tw Cen MT" w:cs="Tahoma"/>
      <w:sz w:val="16"/>
      <w:szCs w:val="16"/>
    </w:rPr>
  </w:style>
  <w:style w:type="character" w:customStyle="1" w:styleId="17">
    <w:name w:val="Body Text Char"/>
    <w:basedOn w:val="10"/>
    <w:link w:val="5"/>
    <w:uiPriority w:val="1"/>
    <w:rPr>
      <w:rFonts w:ascii="Tw Cen MT" w:hAnsi="Tw Cen MT" w:eastAsia="Tw Cen MT" w:cs="Tw Cen MT"/>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548</Words>
  <Characters>3124</Characters>
  <Lines>26</Lines>
  <Paragraphs>7</Paragraphs>
  <TotalTime>0</TotalTime>
  <ScaleCrop>false</ScaleCrop>
  <LinksUpToDate>false</LinksUpToDate>
  <CharactersWithSpaces>3665</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2016-08-31T13:10:00Z</dcterms:created>
  <dc:creator>mehaboobi shaik</dc:creator>
  <cp:lastModifiedBy>Tim McGraw</cp:lastModifiedBy>
  <dcterms:modified xsi:type="dcterms:W3CDTF">2019-06-09T15:39:15Z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2052-11.1.0.8696</vt:lpwstr>
  </property>
</Properties>
</file>