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FA6" w:rsidRDefault="003E0465" w:rsidP="00CF1D9C">
      <w:pPr>
        <w:pStyle w:val="a7"/>
        <w:spacing w:line="360" w:lineRule="auto"/>
        <w:rPr>
          <w:rFonts w:ascii="Times New Roman" w:hAnsi="Times New Roman" w:cs="Times New Roman" w:hint="eastAsia"/>
          <w:b w:val="0"/>
          <w:bCs w:val="0"/>
          <w:sz w:val="24"/>
          <w:szCs w:val="24"/>
        </w:rPr>
      </w:pPr>
      <w:r w:rsidRPr="003E0465">
        <w:rPr>
          <w:rFonts w:ascii="Times New Roman" w:hAnsi="Times New Roman" w:cs="Times New Roman"/>
          <w:b w:val="0"/>
          <w:bCs w:val="0"/>
          <w:sz w:val="24"/>
          <w:szCs w:val="24"/>
        </w:rPr>
        <w:t>ATP is the second pathogenic signal of gout besides MUS</w:t>
      </w:r>
    </w:p>
    <w:p w:rsidR="003E0465" w:rsidRDefault="003E0465" w:rsidP="00CF1D9C">
      <w:pPr>
        <w:spacing w:line="360" w:lineRule="auto"/>
        <w:jc w:val="center"/>
        <w:rPr>
          <w:rFonts w:ascii="Times New Roman" w:hAnsi="Times New Roman" w:cs="Times New Roman" w:hint="eastAsia"/>
          <w:i/>
          <w:kern w:val="0"/>
          <w:sz w:val="24"/>
        </w:rPr>
      </w:pPr>
      <w:r w:rsidRPr="003E0465">
        <w:rPr>
          <w:rFonts w:ascii="Times New Roman" w:eastAsia="宋体" w:hAnsi="Times New Roman" w:cs="Times New Roman"/>
          <w:i/>
          <w:kern w:val="0"/>
          <w:sz w:val="24"/>
        </w:rPr>
        <w:t>Jin-hui</w:t>
      </w:r>
      <w:r w:rsidRPr="003E0465">
        <w:rPr>
          <w:rFonts w:ascii="Times New Roman" w:hAnsi="Times New Roman" w:cs="Times New Roman"/>
          <w:i/>
          <w:kern w:val="0"/>
          <w:sz w:val="24"/>
        </w:rPr>
        <w:t xml:space="preserve"> </w:t>
      </w:r>
      <w:r>
        <w:rPr>
          <w:rFonts w:ascii="Times New Roman" w:hAnsi="Times New Roman" w:cs="Times New Roman"/>
          <w:i/>
          <w:kern w:val="0"/>
          <w:sz w:val="24"/>
        </w:rPr>
        <w:t>Tao</w:t>
      </w:r>
      <w:r w:rsidR="00CF1D9C">
        <w:rPr>
          <w:rFonts w:ascii="Times New Roman" w:hAnsi="Times New Roman" w:cs="Times New Roman" w:hint="eastAsia"/>
          <w:i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kern w:val="0"/>
          <w:sz w:val="24"/>
        </w:rPr>
        <w:t>Hongliang</w:t>
      </w:r>
      <w:r>
        <w:rPr>
          <w:rFonts w:ascii="Times New Roman" w:hAnsi="Times New Roman" w:cs="Times New Roman" w:hint="eastAsia"/>
          <w:i/>
          <w:kern w:val="0"/>
          <w:sz w:val="24"/>
        </w:rPr>
        <w:t xml:space="preserve"> Zhang, Ziwen Zhu, Yujie Tang, Xinya Li, Lin Li, Qunqun Lu</w:t>
      </w:r>
    </w:p>
    <w:p w:rsidR="00CF1D9C" w:rsidRPr="00CF1D9C" w:rsidRDefault="00CF1D9C" w:rsidP="00CF1D9C">
      <w:pPr>
        <w:pStyle w:val="a7"/>
        <w:spacing w:line="360" w:lineRule="auto"/>
        <w:jc w:val="left"/>
        <w:rPr>
          <w:rFonts w:ascii="Times New Roman" w:eastAsiaTheme="minorEastAsia" w:hAnsi="Times New Roman" w:cs="Times New Roman"/>
          <w:b w:val="0"/>
          <w:sz w:val="21"/>
          <w:szCs w:val="21"/>
        </w:rPr>
      </w:pPr>
      <w:r w:rsidRPr="00CF1D9C">
        <w:rPr>
          <w:rFonts w:ascii="Times New Roman" w:eastAsiaTheme="minorEastAsia" w:hAnsi="Times New Roman" w:cs="Times New Roman"/>
          <w:b w:val="0"/>
          <w:sz w:val="21"/>
          <w:szCs w:val="21"/>
        </w:rPr>
        <w:t>Department of Rheumatology &amp; Immunology, The First Affiliated Hospital of USTC, Division of Life Sciences and Medicine, University of Science and Technology of China, Hefei, Anhui, 230001, P.R. China</w:t>
      </w:r>
      <w:r w:rsidRPr="00CF1D9C"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.</w:t>
      </w:r>
    </w:p>
    <w:p w:rsidR="00FE4FA6" w:rsidRDefault="00283759">
      <w:pPr>
        <w:pStyle w:val="a7"/>
        <w:spacing w:line="360" w:lineRule="auto"/>
        <w:jc w:val="both"/>
        <w:rPr>
          <w:rFonts w:ascii="Times New Roman" w:hAnsi="Times New Roman" w:cs="Times New Roman"/>
          <w:b w:val="0"/>
          <w:sz w:val="21"/>
          <w:szCs w:val="21"/>
        </w:rPr>
      </w:pPr>
      <w:r>
        <w:rPr>
          <w:rFonts w:ascii="Times New Roman" w:eastAsiaTheme="minorEastAsia" w:hAnsi="Times New Roman" w:cs="Times New Roman" w:hint="eastAsia"/>
          <w:sz w:val="21"/>
          <w:szCs w:val="21"/>
        </w:rPr>
        <w:t>B</w:t>
      </w:r>
      <w:r>
        <w:rPr>
          <w:rFonts w:ascii="Times New Roman" w:eastAsiaTheme="minorEastAsia" w:hAnsi="Times New Roman" w:cs="Times New Roman"/>
          <w:sz w:val="21"/>
          <w:szCs w:val="21"/>
        </w:rPr>
        <w:t>ackground</w:t>
      </w:r>
      <w:r>
        <w:rPr>
          <w:rFonts w:ascii="Times New Roman" w:eastAsiaTheme="minorEastAsia" w:hAnsi="Times New Roman" w:cs="Times New Roman" w:hint="eastAsia"/>
          <w:sz w:val="21"/>
          <w:szCs w:val="21"/>
        </w:rPr>
        <w:t>: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Gout is an inflammatory disease associated with hyperuricemia and characterized by recurrent arthritis. </w:t>
      </w:r>
      <w:bookmarkStart w:id="0" w:name="OLE_LINK329"/>
      <w:bookmarkStart w:id="1" w:name="OLE_LINK330"/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In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previous study, MSU which generated by hyperuricemia was recognized by the toll-like receptor and NOD receptor of the intrinsic immune system, then </w:t>
      </w:r>
      <w:bookmarkStart w:id="2" w:name="OLE_LINK332"/>
      <w:bookmarkStart w:id="3" w:name="OLE_LINK331"/>
      <w:r>
        <w:rPr>
          <w:rFonts w:ascii="Times New Roman" w:eastAsiaTheme="minorEastAsia" w:hAnsi="Times New Roman" w:cs="Times New Roman"/>
          <w:b w:val="0"/>
          <w:sz w:val="21"/>
          <w:szCs w:val="21"/>
        </w:rPr>
        <w:t>activate</w:t>
      </w:r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d</w:t>
      </w:r>
      <w:bookmarkEnd w:id="2"/>
      <w:bookmarkEnd w:id="3"/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the NALP3 inflammasome to induce the secretion of IL - 1 beta, causing gout. However, this mechan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ism cannot explain </w:t>
      </w:r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why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most patients with hyperuricemia do not have gout attacks in clinical practice, suggesting that there </w:t>
      </w:r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maybe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other pathogenic signals in the </w:t>
      </w:r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flare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of gout. </w:t>
      </w:r>
      <w:bookmarkStart w:id="4" w:name="OLE_LINK336"/>
      <w:bookmarkStart w:id="5" w:name="OLE_LINK335"/>
      <w:r>
        <w:rPr>
          <w:rFonts w:ascii="Times New Roman" w:eastAsiaTheme="minorEastAsia" w:hAnsi="Times New Roman" w:cs="Times New Roman"/>
          <w:b w:val="0"/>
          <w:sz w:val="21"/>
          <w:szCs w:val="21"/>
        </w:rPr>
        <w:t>Our team previously found that P2X7R might play a key regulatory role in the p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athogenesis of gout [1]. </w:t>
      </w:r>
      <w:bookmarkStart w:id="6" w:name="OLE_LINK333"/>
      <w:bookmarkStart w:id="7" w:name="OLE_LINK334"/>
      <w:r>
        <w:rPr>
          <w:rFonts w:ascii="Times New Roman" w:eastAsiaTheme="minorEastAsia" w:hAnsi="Times New Roman" w:cs="Times New Roman"/>
          <w:b w:val="0"/>
          <w:sz w:val="21"/>
          <w:szCs w:val="21"/>
        </w:rPr>
        <w:t>What’s more, single nucleotide polymorphisms associated with P2X7R function regulate the onset of gouty arthritis</w:t>
      </w:r>
      <w:bookmarkEnd w:id="6"/>
      <w:bookmarkEnd w:id="7"/>
      <w:r>
        <w:rPr>
          <w:rFonts w:ascii="Times New Roman" w:eastAsiaTheme="minorEastAsia" w:hAnsi="Times New Roman" w:cs="Times New Roman"/>
          <w:b w:val="0"/>
          <w:sz w:val="21"/>
          <w:szCs w:val="21"/>
        </w:rPr>
        <w:t>[2], suggesting that ATP, as the ligand of P2X7R, may be a second key signal in addition to MSU to stimulate gout atta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>ck.</w:t>
      </w:r>
      <w:bookmarkEnd w:id="0"/>
      <w:bookmarkEnd w:id="1"/>
      <w:bookmarkEnd w:id="4"/>
      <w:bookmarkEnd w:id="5"/>
    </w:p>
    <w:p w:rsidR="00FE4FA6" w:rsidRDefault="00283759">
      <w:pPr>
        <w:pStyle w:val="a7"/>
        <w:spacing w:line="360" w:lineRule="auto"/>
        <w:jc w:val="both"/>
        <w:rPr>
          <w:rFonts w:ascii="Times New Roman" w:eastAsiaTheme="minorEastAsia" w:hAnsi="Times New Roman" w:cs="Times New Roman"/>
          <w:b w:val="0"/>
          <w:sz w:val="21"/>
          <w:szCs w:val="21"/>
        </w:rPr>
      </w:pPr>
      <w:r>
        <w:rPr>
          <w:rFonts w:ascii="Times New Roman" w:eastAsiaTheme="minorEastAsia" w:hAnsi="Times New Roman" w:cs="Times New Roman" w:hint="eastAsia"/>
          <w:sz w:val="21"/>
          <w:szCs w:val="21"/>
        </w:rPr>
        <w:t>O</w:t>
      </w:r>
      <w:r>
        <w:rPr>
          <w:rFonts w:ascii="Times New Roman" w:eastAsiaTheme="minorEastAsia" w:hAnsi="Times New Roman" w:cs="Times New Roman"/>
          <w:sz w:val="21"/>
          <w:szCs w:val="21"/>
        </w:rPr>
        <w:t xml:space="preserve">bjectives: 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>To understand whether ATP act as a key factor in gout development besides MSU.</w:t>
      </w:r>
    </w:p>
    <w:p w:rsidR="00FE4FA6" w:rsidRDefault="00283759">
      <w:pPr>
        <w:spacing w:line="36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Methods: </w:t>
      </w:r>
      <w:bookmarkStart w:id="8" w:name="OLE_LINK337"/>
      <w:bookmarkStart w:id="9" w:name="OLE_LINK338"/>
      <w:bookmarkStart w:id="10" w:name="OLE_LINK339"/>
      <w:r>
        <w:rPr>
          <w:rFonts w:ascii="Times New Roman" w:hAnsi="Times New Roman" w:cs="Times New Roman"/>
          <w:bCs/>
          <w:szCs w:val="21"/>
        </w:rPr>
        <w:t>The rat hyperuricemia model was prepared by intraperitoneal injection of t</w:t>
      </w:r>
      <w:r>
        <w:rPr>
          <w:rFonts w:ascii="Times New Roman" w:hAnsi="Times New Roman" w:cs="Times New Roman" w:hint="eastAsia"/>
          <w:bCs/>
          <w:szCs w:val="21"/>
        </w:rPr>
        <w:t>h</w:t>
      </w:r>
      <w:r>
        <w:rPr>
          <w:rFonts w:ascii="Times New Roman" w:hAnsi="Times New Roman" w:cs="Times New Roman"/>
          <w:bCs/>
          <w:szCs w:val="21"/>
        </w:rPr>
        <w:t xml:space="preserve">e uratase inhibitor oxazinic acid. Followed by ATP injection into the tail vein to observe the incidence of arthritis and compared with the Coderre method- established </w:t>
      </w:r>
      <w:bookmarkEnd w:id="8"/>
      <w:bookmarkEnd w:id="9"/>
      <w:bookmarkEnd w:id="10"/>
      <w:r>
        <w:rPr>
          <w:rFonts w:ascii="Times New Roman" w:hAnsi="Times New Roman" w:cs="Times New Roman"/>
          <w:bCs/>
          <w:szCs w:val="21"/>
        </w:rPr>
        <w:t>gouty arthritis [3]</w:t>
      </w:r>
      <w:r>
        <w:rPr>
          <w:rFonts w:ascii="Times New Roman" w:hAnsi="Times New Roman" w:cs="Times New Roman" w:hint="eastAsia"/>
          <w:bCs/>
          <w:szCs w:val="21"/>
        </w:rPr>
        <w:t>.</w:t>
      </w:r>
    </w:p>
    <w:p w:rsidR="00FE4FA6" w:rsidRDefault="00283759">
      <w:pPr>
        <w:pStyle w:val="a7"/>
        <w:spacing w:line="360" w:lineRule="auto"/>
        <w:jc w:val="both"/>
        <w:rPr>
          <w:rFonts w:ascii="Times New Roman" w:eastAsiaTheme="minorEastAsia" w:hAnsi="Times New Roman" w:cs="Times New Roman"/>
          <w:b w:val="0"/>
          <w:sz w:val="18"/>
          <w:szCs w:val="18"/>
        </w:rPr>
      </w:pPr>
      <w:r>
        <w:rPr>
          <w:rFonts w:ascii="Times New Roman" w:eastAsiaTheme="minorEastAsia" w:hAnsi="Times New Roman" w:cs="Times New Roman"/>
          <w:sz w:val="21"/>
          <w:szCs w:val="21"/>
        </w:rPr>
        <w:t>Results:</w:t>
      </w:r>
      <w:bookmarkStart w:id="11" w:name="OLE_LINK340"/>
      <w:bookmarkStart w:id="12" w:name="OLE_LINK341"/>
      <w:r>
        <w:rPr>
          <w:rFonts w:ascii="Times New Roman" w:eastAsiaTheme="minorEastAsia" w:hAnsi="Times New Roman" w:cs="Times New Roman"/>
          <w:b w:val="0"/>
          <w:sz w:val="21"/>
          <w:szCs w:val="21"/>
        </w:rPr>
        <w:t>Forty hyperuricemia rats were prepared and 0.5ml ATP (10mM)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solution was injected into the tail vein of the rat respectively, about 95% (38 rats) developed spontaneous arthritis. This type of spontaneous arthritis is very different from the Coderre method in the following aspects: (1) The onset time of spontaneous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arthritis is faster. The time of joint swelling in spontaneous arthritis peaked at 6±2 hours after ATP injection, while it took 2 to 3 days for arthritis caused by local injection of MSU to reach its peak. (2)The affected joints were different: The Coderr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e method joints swelling only at the MSU injection site. Spontaneous arthritis can involve multiple joints, in which 71% </w:t>
      </w:r>
      <w:r>
        <w:rPr>
          <w:rFonts w:ascii="Times New Roman" w:eastAsiaTheme="minorEastAsia" w:hAnsi="Times New Roman" w:cs="Times New Roman" w:hint="eastAsia"/>
          <w:b w:val="0"/>
          <w:sz w:val="21"/>
          <w:szCs w:val="21"/>
        </w:rPr>
        <w:t>have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one joint affected, 21% have two joints affected and 8% with three or more than 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lastRenderedPageBreak/>
        <w:t>three joints affected by redness and swelling. (3)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 xml:space="preserve"> Distinct histopathologic characteristic: In Coderre method, lymphocytes caused by local injection account for about 60%, with fewer neutrophils; In spontaneous arthritis, neutrophils account for more than 90% and lymphocytes are less. (4) Different source</w:t>
      </w:r>
      <w:r>
        <w:rPr>
          <w:rFonts w:ascii="Times New Roman" w:eastAsiaTheme="minorEastAsia" w:hAnsi="Times New Roman" w:cs="Times New Roman"/>
          <w:b w:val="0"/>
          <w:sz w:val="21"/>
          <w:szCs w:val="21"/>
        </w:rPr>
        <w:t>s of MSU: there is local MSU in spontaneous arthritis, which is associated with hyperuricemia; the local presence of MSU in Coderre's arthritis was artificially injected.</w:t>
      </w:r>
    </w:p>
    <w:bookmarkEnd w:id="11"/>
    <w:bookmarkEnd w:id="12"/>
    <w:p w:rsidR="00FE4FA6" w:rsidRDefault="00283759">
      <w:pPr>
        <w:spacing w:line="36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Conclusions:</w:t>
      </w:r>
      <w:r>
        <w:rPr>
          <w:rFonts w:ascii="Times New Roman" w:hAnsi="Times New Roman" w:cs="Times New Roman"/>
          <w:bCs/>
          <w:szCs w:val="21"/>
        </w:rPr>
        <w:t>The synergistic effect of ATP and MSU is consistent with the characterist</w:t>
      </w:r>
      <w:r>
        <w:rPr>
          <w:rFonts w:ascii="Times New Roman" w:hAnsi="Times New Roman" w:cs="Times New Roman"/>
          <w:bCs/>
          <w:szCs w:val="21"/>
        </w:rPr>
        <w:t xml:space="preserve">ics of human gout arthritis, suggesting that ATP is the key second signal besides MSU to stimulate gout attack. </w:t>
      </w:r>
    </w:p>
    <w:p w:rsidR="00FE4FA6" w:rsidRDefault="00FE4FA6">
      <w:pPr>
        <w:rPr>
          <w:rFonts w:ascii="Times New Roman" w:hAnsi="Times New Roman" w:cs="Times New Roman"/>
          <w:szCs w:val="21"/>
        </w:rPr>
      </w:pPr>
    </w:p>
    <w:p w:rsidR="00FE4FA6" w:rsidRDefault="00FE4FA6">
      <w:pPr>
        <w:rPr>
          <w:rFonts w:ascii="Times New Roman" w:hAnsi="Times New Roman" w:cs="Times New Roman"/>
          <w:szCs w:val="21"/>
        </w:rPr>
      </w:pPr>
    </w:p>
    <w:p w:rsidR="00FE4FA6" w:rsidRDefault="00283759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References:</w:t>
      </w:r>
    </w:p>
    <w:p w:rsidR="00FE4FA6" w:rsidRDefault="0028375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. Tao JH, Zhang Y, Li XP. P2X7R: A potential key regulator of acute gouty arthritis. Semin Arthritis Rheum. 2013; 43(3): 376-380</w:t>
      </w:r>
      <w:r>
        <w:rPr>
          <w:rFonts w:ascii="Times New Roman" w:hAnsi="Times New Roman" w:cs="Times New Roman"/>
          <w:szCs w:val="21"/>
        </w:rPr>
        <w:t xml:space="preserve">. </w:t>
      </w:r>
    </w:p>
    <w:p w:rsidR="00FE4FA6" w:rsidRDefault="0028375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/>
          <w:szCs w:val="21"/>
        </w:rPr>
        <w:t>. Tao JH, Cheng M, Tang JP, et al. Single nucleotide polymorphisms associated with P2X7R function regulate the onset of gouty arthritis. PLoS One. 2017 Aug 10;12(8):e0181685.</w:t>
      </w:r>
    </w:p>
    <w:p w:rsidR="00FE4FA6" w:rsidRDefault="0028375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3. </w:t>
      </w:r>
      <w:r>
        <w:rPr>
          <w:rFonts w:ascii="Times New Roman" w:hAnsi="Times New Roman" w:cs="Times New Roman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 xml:space="preserve">oderre </w:t>
      </w:r>
      <w:r>
        <w:rPr>
          <w:rFonts w:ascii="Times New Roman" w:hAnsi="Times New Roman" w:cs="Times New Roman"/>
          <w:szCs w:val="21"/>
        </w:rPr>
        <w:t>TJ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W</w:t>
      </w:r>
      <w:r>
        <w:rPr>
          <w:rFonts w:ascii="Times New Roman" w:hAnsi="Times New Roman" w:cs="Times New Roman" w:hint="eastAsia"/>
          <w:szCs w:val="21"/>
        </w:rPr>
        <w:t xml:space="preserve">all </w:t>
      </w:r>
      <w:r>
        <w:rPr>
          <w:rFonts w:ascii="Times New Roman" w:hAnsi="Times New Roman" w:cs="Times New Roman"/>
          <w:szCs w:val="21"/>
        </w:rPr>
        <w:t>PD.Ankle joint urate arthritis (AJUA) in rats: An alterna</w:t>
      </w:r>
      <w:r>
        <w:rPr>
          <w:rFonts w:ascii="Times New Roman" w:hAnsi="Times New Roman" w:cs="Times New Roman"/>
          <w:szCs w:val="21"/>
        </w:rPr>
        <w:t>tive animal model of arthritis to that produced by Freund's adjuvant</w:t>
      </w:r>
      <w:r>
        <w:rPr>
          <w:rFonts w:ascii="Times New Roman" w:hAnsi="Times New Roman" w:cs="Times New Roman" w:hint="eastAsia"/>
          <w:szCs w:val="21"/>
        </w:rPr>
        <w:t>. Pain. 1987; 28(3):379-</w:t>
      </w:r>
      <w:r w:rsidR="003E0465"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93</w:t>
      </w:r>
      <w:r w:rsidR="003E0465">
        <w:rPr>
          <w:rFonts w:ascii="Times New Roman" w:hAnsi="Times New Roman" w:cs="Times New Roman" w:hint="eastAsia"/>
          <w:szCs w:val="21"/>
        </w:rPr>
        <w:t>.</w:t>
      </w:r>
    </w:p>
    <w:p w:rsidR="00FE4FA6" w:rsidRDefault="00FE4FA6"/>
    <w:sectPr w:rsidR="00FE4FA6" w:rsidSect="00FE4F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759" w:rsidRDefault="00283759" w:rsidP="003E0465">
      <w:r>
        <w:separator/>
      </w:r>
    </w:p>
  </w:endnote>
  <w:endnote w:type="continuationSeparator" w:id="1">
    <w:p w:rsidR="00283759" w:rsidRDefault="00283759" w:rsidP="003E0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759" w:rsidRDefault="00283759" w:rsidP="003E0465">
      <w:r>
        <w:separator/>
      </w:r>
    </w:p>
  </w:footnote>
  <w:footnote w:type="continuationSeparator" w:id="1">
    <w:p w:rsidR="00283759" w:rsidRDefault="00283759" w:rsidP="003E04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48A"/>
    <w:rsid w:val="00023892"/>
    <w:rsid w:val="0004297F"/>
    <w:rsid w:val="00056BBC"/>
    <w:rsid w:val="00057688"/>
    <w:rsid w:val="0009406A"/>
    <w:rsid w:val="000F586F"/>
    <w:rsid w:val="001104B4"/>
    <w:rsid w:val="00134EE9"/>
    <w:rsid w:val="001419BE"/>
    <w:rsid w:val="001436C9"/>
    <w:rsid w:val="00153264"/>
    <w:rsid w:val="00183ED7"/>
    <w:rsid w:val="001932F7"/>
    <w:rsid w:val="001C1B86"/>
    <w:rsid w:val="001D0410"/>
    <w:rsid w:val="001E1640"/>
    <w:rsid w:val="0020368E"/>
    <w:rsid w:val="002265CF"/>
    <w:rsid w:val="00231621"/>
    <w:rsid w:val="00274823"/>
    <w:rsid w:val="00277820"/>
    <w:rsid w:val="00283759"/>
    <w:rsid w:val="0028548A"/>
    <w:rsid w:val="002856DB"/>
    <w:rsid w:val="002A0D66"/>
    <w:rsid w:val="002E1D8A"/>
    <w:rsid w:val="00346A02"/>
    <w:rsid w:val="003A46E8"/>
    <w:rsid w:val="003E0465"/>
    <w:rsid w:val="00411950"/>
    <w:rsid w:val="00440A7E"/>
    <w:rsid w:val="004E05E1"/>
    <w:rsid w:val="005312DC"/>
    <w:rsid w:val="005A2B4B"/>
    <w:rsid w:val="00603781"/>
    <w:rsid w:val="00623E3D"/>
    <w:rsid w:val="00634F0D"/>
    <w:rsid w:val="006403A2"/>
    <w:rsid w:val="006721D3"/>
    <w:rsid w:val="006872D3"/>
    <w:rsid w:val="00695DE2"/>
    <w:rsid w:val="00697179"/>
    <w:rsid w:val="006F49AF"/>
    <w:rsid w:val="0076738A"/>
    <w:rsid w:val="00780820"/>
    <w:rsid w:val="00787FC6"/>
    <w:rsid w:val="007B4AEF"/>
    <w:rsid w:val="007E359C"/>
    <w:rsid w:val="008178D6"/>
    <w:rsid w:val="00872DC9"/>
    <w:rsid w:val="008A28E7"/>
    <w:rsid w:val="008B0DCF"/>
    <w:rsid w:val="008B7155"/>
    <w:rsid w:val="008F72E6"/>
    <w:rsid w:val="0090339A"/>
    <w:rsid w:val="00930956"/>
    <w:rsid w:val="00973CC5"/>
    <w:rsid w:val="00983CC2"/>
    <w:rsid w:val="009A7957"/>
    <w:rsid w:val="009C184C"/>
    <w:rsid w:val="009C2A4B"/>
    <w:rsid w:val="009D2499"/>
    <w:rsid w:val="00A50838"/>
    <w:rsid w:val="00A72DE1"/>
    <w:rsid w:val="00A76077"/>
    <w:rsid w:val="00AA3F78"/>
    <w:rsid w:val="00AB3917"/>
    <w:rsid w:val="00AE309C"/>
    <w:rsid w:val="00B2235A"/>
    <w:rsid w:val="00B45DD8"/>
    <w:rsid w:val="00B71A33"/>
    <w:rsid w:val="00BB1ECF"/>
    <w:rsid w:val="00BF1BD8"/>
    <w:rsid w:val="00C05332"/>
    <w:rsid w:val="00C16761"/>
    <w:rsid w:val="00C7036B"/>
    <w:rsid w:val="00CE1D9D"/>
    <w:rsid w:val="00CF1D9C"/>
    <w:rsid w:val="00CF2CF4"/>
    <w:rsid w:val="00D05E60"/>
    <w:rsid w:val="00D1522E"/>
    <w:rsid w:val="00D52F4F"/>
    <w:rsid w:val="00D831CB"/>
    <w:rsid w:val="00D94EBD"/>
    <w:rsid w:val="00E07A7C"/>
    <w:rsid w:val="00E12A0C"/>
    <w:rsid w:val="00E80C94"/>
    <w:rsid w:val="00E949D1"/>
    <w:rsid w:val="00EB0E89"/>
    <w:rsid w:val="00F13D9D"/>
    <w:rsid w:val="00F33D04"/>
    <w:rsid w:val="00FC677E"/>
    <w:rsid w:val="00FE4FA6"/>
    <w:rsid w:val="00FE57DB"/>
    <w:rsid w:val="00FF4952"/>
    <w:rsid w:val="0BE76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FA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E4F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E4FA6"/>
    <w:rPr>
      <w:rFonts w:asciiTheme="majorHAnsi" w:eastAsia="黑体" w:hAnsiTheme="majorHAnsi" w:cstheme="majorBidi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FE4FA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E4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FE4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2"/>
    <w:uiPriority w:val="10"/>
    <w:qFormat/>
    <w:rsid w:val="00FE4FA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FE4F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E4FA6"/>
    <w:rPr>
      <w:b/>
      <w:bCs/>
      <w:kern w:val="44"/>
      <w:sz w:val="44"/>
      <w:szCs w:val="44"/>
    </w:rPr>
  </w:style>
  <w:style w:type="character" w:customStyle="1" w:styleId="Char1">
    <w:name w:val="页眉 Char"/>
    <w:basedOn w:val="a0"/>
    <w:link w:val="a6"/>
    <w:uiPriority w:val="99"/>
    <w:rsid w:val="00FE4FA6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E4FA6"/>
    <w:rPr>
      <w:sz w:val="18"/>
      <w:szCs w:val="18"/>
    </w:rPr>
  </w:style>
  <w:style w:type="paragraph" w:styleId="a8">
    <w:name w:val="List Paragraph"/>
    <w:basedOn w:val="a"/>
    <w:uiPriority w:val="34"/>
    <w:qFormat/>
    <w:rsid w:val="00FE4FA6"/>
    <w:pPr>
      <w:ind w:firstLineChars="200" w:firstLine="420"/>
    </w:pPr>
  </w:style>
  <w:style w:type="character" w:customStyle="1" w:styleId="Char">
    <w:name w:val="批注框文本 Char"/>
    <w:basedOn w:val="a0"/>
    <w:link w:val="a4"/>
    <w:uiPriority w:val="99"/>
    <w:semiHidden/>
    <w:qFormat/>
    <w:rsid w:val="00FE4FA6"/>
    <w:rPr>
      <w:sz w:val="18"/>
      <w:szCs w:val="18"/>
    </w:rPr>
  </w:style>
  <w:style w:type="character" w:customStyle="1" w:styleId="apple-style-span">
    <w:name w:val="apple-style-span"/>
    <w:basedOn w:val="a0"/>
    <w:uiPriority w:val="99"/>
    <w:rsid w:val="00FE4FA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B6B8D8B-8B2B-49D3-BE17-4320A10F51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Company>Microsoft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hongliang</dc:creator>
  <cp:lastModifiedBy>lenovo</cp:lastModifiedBy>
  <cp:revision>2</cp:revision>
  <cp:lastPrinted>2019-01-30T13:14:00Z</cp:lastPrinted>
  <dcterms:created xsi:type="dcterms:W3CDTF">2019-06-02T08:16:00Z</dcterms:created>
  <dcterms:modified xsi:type="dcterms:W3CDTF">2019-06-02T08:16:00Z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6aa58b58-e793-33c4-93ff-47eff8b57542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2052-11.1.0.8696</vt:lpwstr>
  </property>
</Properties>
</file>