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97F" w:rsidRDefault="001B297F" w:rsidP="001B297F">
      <w:pPr>
        <w:pStyle w:val="Heading1"/>
      </w:pPr>
      <w:r w:rsidRPr="001B297F">
        <w:rPr>
          <w:color w:val="337AB7"/>
        </w:rPr>
        <w:t xml:space="preserve">Dynamically Installed </w:t>
      </w:r>
      <w:r w:rsidR="0035601B">
        <w:rPr>
          <w:color w:val="337AB7"/>
        </w:rPr>
        <w:t xml:space="preserve">Drop </w:t>
      </w:r>
      <w:r w:rsidRPr="001B297F">
        <w:rPr>
          <w:color w:val="337AB7"/>
        </w:rPr>
        <w:t>Anchors for Multiline Anchoring Systems Such as FOWT Parks</w:t>
      </w:r>
    </w:p>
    <w:p w:rsidR="00AE3E37" w:rsidRDefault="00AE3E37" w:rsidP="00494130">
      <w:pPr>
        <w:pStyle w:val="Heading1"/>
        <w:spacing w:before="170"/>
        <w:ind w:left="0"/>
      </w:pPr>
    </w:p>
    <w:p w:rsidR="005973B9" w:rsidRDefault="001B297F" w:rsidP="005973B9">
      <w:pPr>
        <w:pStyle w:val="BodyText"/>
        <w:spacing w:before="73" w:line="198" w:lineRule="exact"/>
        <w:ind w:left="100" w:right="5987"/>
        <w:rPr>
          <w:rFonts w:ascii="Arial"/>
        </w:rPr>
      </w:pPr>
      <w:r>
        <w:rPr>
          <w:rFonts w:ascii="Arial"/>
        </w:rPr>
        <w:t>Jon Tore Lieng</w:t>
      </w:r>
      <w:r w:rsidR="005973B9">
        <w:rPr>
          <w:rFonts w:ascii="Arial"/>
        </w:rPr>
        <w:t xml:space="preserve"> PhD, </w:t>
      </w:r>
      <w:r>
        <w:rPr>
          <w:rFonts w:ascii="Arial"/>
        </w:rPr>
        <w:t>Deep Sea Anchors</w:t>
      </w:r>
      <w:r w:rsidR="005973B9">
        <w:rPr>
          <w:rFonts w:ascii="Arial"/>
        </w:rPr>
        <w:t xml:space="preserve">, </w:t>
      </w:r>
      <w:r>
        <w:rPr>
          <w:rFonts w:ascii="Arial"/>
        </w:rPr>
        <w:t>Norway</w:t>
      </w:r>
    </w:p>
    <w:p w:rsidR="001B297F" w:rsidRDefault="001B297F"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1B297F">
      <w:pPr>
        <w:pStyle w:val="BodyText"/>
        <w:spacing w:before="90" w:line="280" w:lineRule="auto"/>
        <w:ind w:left="100"/>
        <w:jc w:val="both"/>
      </w:pPr>
      <w:r w:rsidRPr="001B297F">
        <w:t xml:space="preserve">Multiline anchoring systems for floating offshore wind turbine parks show promising concepts to minimize the number of anchor points thus reducing costs for mooring and marine operations. In order to bring about the realization of such systems viable anchor solutions capable of multiline connections and corresponding multidirectional loading are needed. Dynamically installed anchors such as </w:t>
      </w:r>
      <w:r>
        <w:t>DPAs (</w:t>
      </w:r>
      <w:r w:rsidRPr="001B297F">
        <w:t>Deep Penetrating Anchors</w:t>
      </w:r>
      <w:r>
        <w:t>)</w:t>
      </w:r>
      <w:r w:rsidRPr="001B297F">
        <w:t xml:space="preserve"> for use in soft seabed sediments are capable of handling several mooring lines and associated loads such that they may be incorporated into anchor sharing configurations. The challenges are to combine several connection points and partially integrate the mooring lines into the anchor design in addition to holding these lines separate during and after the anchor has fully penetrated and installed into the seabed. This paper demonstrates how this is achievable and as an example assumes one anchor is shared by three floating offshore windmill turbines.</w:t>
      </w:r>
    </w:p>
    <w:p w:rsidR="00AE3E37" w:rsidRDefault="00A9710C">
      <w:pPr>
        <w:pStyle w:val="Heading3"/>
        <w:spacing w:before="74"/>
      </w:pPr>
      <w:r w:rsidRPr="001B297F">
        <w:rPr>
          <w:rFonts w:ascii="Tw Cen MT" w:eastAsia="Tw Cen MT" w:hAnsi="Tw Cen MT" w:cs="Tw Cen MT"/>
          <w:b w:val="0"/>
          <w:bCs w:val="0"/>
          <w:sz w:val="18"/>
          <w:szCs w:val="18"/>
        </w:rPr>
        <w:br w:type="column"/>
      </w:r>
      <w:bookmarkStart w:id="0" w:name="_GoBack"/>
      <w:bookmarkEnd w:id="0"/>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985A85" w:rsidRDefault="00985A85" w:rsidP="005973B9">
      <w:pPr>
        <w:pStyle w:val="ListParagraph"/>
        <w:numPr>
          <w:ilvl w:val="0"/>
          <w:numId w:val="3"/>
        </w:numPr>
        <w:tabs>
          <w:tab w:val="left" w:pos="384"/>
        </w:tabs>
        <w:spacing w:before="103" w:line="216" w:lineRule="exact"/>
        <w:ind w:right="138" w:hanging="283"/>
        <w:rPr>
          <w:sz w:val="18"/>
        </w:rPr>
      </w:pPr>
      <w:r>
        <w:rPr>
          <w:sz w:val="18"/>
        </w:rPr>
        <w:t>Chow SH, O’Loughlin CD, Gaudin C, Lieng JT (2018) Drained monotonic and cyclic capacity of a dynamically installed plate anchor in sand. Ocean Engineering 148 (2018) 588-601.</w:t>
      </w:r>
      <w:r w:rsidR="0035601B">
        <w:rPr>
          <w:sz w:val="18"/>
        </w:rPr>
        <w:br/>
      </w:r>
    </w:p>
    <w:p w:rsidR="0035601B" w:rsidRPr="0035601B" w:rsidRDefault="00A10871" w:rsidP="0035601B">
      <w:pPr>
        <w:pStyle w:val="BodyTextIndent3"/>
        <w:numPr>
          <w:ilvl w:val="0"/>
          <w:numId w:val="3"/>
        </w:numPr>
        <w:jc w:val="both"/>
        <w:rPr>
          <w:rFonts w:ascii="Calibri" w:eastAsia="Calibri" w:hAnsi="Calibri" w:cs="Calibri"/>
          <w:sz w:val="18"/>
          <w:szCs w:val="22"/>
        </w:rPr>
      </w:pPr>
      <w:r>
        <w:rPr>
          <w:rFonts w:ascii="Calibri" w:eastAsia="Calibri" w:hAnsi="Calibri" w:cs="Calibri"/>
          <w:sz w:val="18"/>
          <w:szCs w:val="22"/>
        </w:rPr>
        <w:t>Chow</w:t>
      </w:r>
      <w:r w:rsidRPr="00A10871">
        <w:rPr>
          <w:rFonts w:ascii="Calibri" w:eastAsia="Calibri" w:hAnsi="Calibri" w:cs="Calibri"/>
          <w:sz w:val="18"/>
          <w:szCs w:val="22"/>
        </w:rPr>
        <w:t xml:space="preserve"> SH, O’Loughlin CD, Gaudin C, Knappett JA</w:t>
      </w:r>
      <w:r>
        <w:rPr>
          <w:rFonts w:ascii="Calibri" w:eastAsia="Calibri" w:hAnsi="Calibri" w:cs="Calibri"/>
          <w:sz w:val="18"/>
          <w:szCs w:val="22"/>
        </w:rPr>
        <w:t>, Brown</w:t>
      </w:r>
      <w:r w:rsidRPr="00A10871">
        <w:rPr>
          <w:rFonts w:ascii="Calibri" w:eastAsia="Calibri" w:hAnsi="Calibri" w:cs="Calibri"/>
          <w:sz w:val="18"/>
          <w:szCs w:val="22"/>
        </w:rPr>
        <w:t xml:space="preserve"> MJ</w:t>
      </w:r>
      <w:r>
        <w:rPr>
          <w:rFonts w:ascii="Calibri" w:eastAsia="Calibri" w:hAnsi="Calibri" w:cs="Calibri"/>
          <w:sz w:val="18"/>
          <w:szCs w:val="22"/>
        </w:rPr>
        <w:t>,</w:t>
      </w:r>
      <w:r w:rsidRPr="00A10871">
        <w:rPr>
          <w:rFonts w:ascii="Calibri" w:eastAsia="Calibri" w:hAnsi="Calibri" w:cs="Calibri"/>
          <w:sz w:val="18"/>
          <w:szCs w:val="22"/>
        </w:rPr>
        <w:t xml:space="preserve"> Lieng JT</w:t>
      </w:r>
      <w:r>
        <w:rPr>
          <w:rFonts w:ascii="Calibri" w:eastAsia="Calibri" w:hAnsi="Calibri" w:cs="Calibri"/>
          <w:sz w:val="18"/>
          <w:szCs w:val="22"/>
        </w:rPr>
        <w:t xml:space="preserve"> (2017)</w:t>
      </w:r>
      <w:r>
        <w:t xml:space="preserve"> </w:t>
      </w:r>
      <w:r w:rsidR="0035601B" w:rsidRPr="0035601B">
        <w:rPr>
          <w:rFonts w:ascii="Calibri" w:eastAsia="Calibri" w:hAnsi="Calibri" w:cs="Calibri"/>
          <w:sz w:val="18"/>
          <w:szCs w:val="22"/>
        </w:rPr>
        <w:t xml:space="preserve">Experimental </w:t>
      </w:r>
      <w:r>
        <w:rPr>
          <w:rFonts w:ascii="Calibri" w:eastAsia="Calibri" w:hAnsi="Calibri" w:cs="Calibri"/>
          <w:sz w:val="18"/>
          <w:szCs w:val="22"/>
        </w:rPr>
        <w:t>s</w:t>
      </w:r>
      <w:r w:rsidR="0035601B" w:rsidRPr="0035601B">
        <w:rPr>
          <w:rFonts w:ascii="Calibri" w:eastAsia="Calibri" w:hAnsi="Calibri" w:cs="Calibri"/>
          <w:sz w:val="18"/>
          <w:szCs w:val="22"/>
        </w:rPr>
        <w:t xml:space="preserve">tudy of the </w:t>
      </w:r>
      <w:r>
        <w:rPr>
          <w:rFonts w:ascii="Calibri" w:eastAsia="Calibri" w:hAnsi="Calibri" w:cs="Calibri"/>
          <w:sz w:val="18"/>
          <w:szCs w:val="22"/>
        </w:rPr>
        <w:t>e</w:t>
      </w:r>
      <w:r w:rsidR="0035601B" w:rsidRPr="0035601B">
        <w:rPr>
          <w:rFonts w:ascii="Calibri" w:eastAsia="Calibri" w:hAnsi="Calibri" w:cs="Calibri"/>
          <w:sz w:val="18"/>
          <w:szCs w:val="22"/>
        </w:rPr>
        <w:t xml:space="preserve">mbedment of a </w:t>
      </w:r>
      <w:r>
        <w:rPr>
          <w:rFonts w:ascii="Calibri" w:eastAsia="Calibri" w:hAnsi="Calibri" w:cs="Calibri"/>
          <w:sz w:val="18"/>
          <w:szCs w:val="22"/>
        </w:rPr>
        <w:t>dynamically installed a</w:t>
      </w:r>
      <w:r w:rsidR="0035601B" w:rsidRPr="0035601B">
        <w:rPr>
          <w:rFonts w:ascii="Calibri" w:eastAsia="Calibri" w:hAnsi="Calibri" w:cs="Calibri"/>
          <w:sz w:val="18"/>
          <w:szCs w:val="22"/>
        </w:rPr>
        <w:t xml:space="preserve">nchor in </w:t>
      </w:r>
      <w:r>
        <w:rPr>
          <w:rFonts w:ascii="Calibri" w:eastAsia="Calibri" w:hAnsi="Calibri" w:cs="Calibri"/>
          <w:sz w:val="18"/>
          <w:szCs w:val="22"/>
        </w:rPr>
        <w:t>s</w:t>
      </w:r>
      <w:r w:rsidR="0035601B" w:rsidRPr="0035601B">
        <w:rPr>
          <w:rFonts w:ascii="Calibri" w:eastAsia="Calibri" w:hAnsi="Calibri" w:cs="Calibri"/>
          <w:sz w:val="18"/>
          <w:szCs w:val="22"/>
        </w:rPr>
        <w:t>and, Offshore Site Investigation &amp; Geotechnics Committee 8th International Conference, London, Sept. 2017</w:t>
      </w:r>
    </w:p>
    <w:p w:rsidR="00423957" w:rsidRDefault="00423957" w:rsidP="005973B9">
      <w:pPr>
        <w:pStyle w:val="ListParagraph"/>
        <w:numPr>
          <w:ilvl w:val="0"/>
          <w:numId w:val="3"/>
        </w:numPr>
        <w:tabs>
          <w:tab w:val="left" w:pos="384"/>
        </w:tabs>
        <w:spacing w:before="103" w:line="216" w:lineRule="exact"/>
        <w:ind w:right="138" w:hanging="283"/>
        <w:rPr>
          <w:sz w:val="18"/>
        </w:rPr>
      </w:pPr>
      <w:r>
        <w:rPr>
          <w:sz w:val="18"/>
        </w:rPr>
        <w:t>Knappett JA, Brown MJ, Aldaikh H, Patra S, O’Loughlin CD, Chow SH, Gaudin C, Lieng JT (2015) A review of anchor technology for floating renewable energy devices and key design considerations. ISFOG.</w:t>
      </w:r>
    </w:p>
    <w:p w:rsidR="0035601B" w:rsidRDefault="0035601B" w:rsidP="005973B9">
      <w:pPr>
        <w:pStyle w:val="ListParagraph"/>
        <w:numPr>
          <w:ilvl w:val="0"/>
          <w:numId w:val="3"/>
        </w:numPr>
        <w:tabs>
          <w:tab w:val="left" w:pos="384"/>
        </w:tabs>
        <w:spacing w:before="103" w:line="216" w:lineRule="exact"/>
        <w:ind w:right="138" w:hanging="283"/>
        <w:rPr>
          <w:sz w:val="18"/>
        </w:rPr>
      </w:pPr>
      <w:r>
        <w:rPr>
          <w:sz w:val="18"/>
        </w:rPr>
        <w:t>Sturm H, Lieng</w:t>
      </w:r>
      <w:r w:rsidRPr="0035601B">
        <w:rPr>
          <w:sz w:val="18"/>
        </w:rPr>
        <w:t xml:space="preserve"> JT</w:t>
      </w:r>
      <w:r>
        <w:rPr>
          <w:sz w:val="18"/>
        </w:rPr>
        <w:t>,</w:t>
      </w:r>
      <w:r w:rsidRPr="0035601B">
        <w:rPr>
          <w:sz w:val="18"/>
        </w:rPr>
        <w:t xml:space="preserve"> Saygili</w:t>
      </w:r>
      <w:r>
        <w:rPr>
          <w:sz w:val="18"/>
        </w:rPr>
        <w:t xml:space="preserve"> G (2011)</w:t>
      </w:r>
      <w:r w:rsidRPr="0035601B">
        <w:rPr>
          <w:sz w:val="18"/>
        </w:rPr>
        <w:t xml:space="preserve"> Effect of </w:t>
      </w:r>
      <w:r>
        <w:rPr>
          <w:sz w:val="18"/>
        </w:rPr>
        <w:t>s</w:t>
      </w:r>
      <w:r w:rsidRPr="0035601B">
        <w:rPr>
          <w:sz w:val="18"/>
        </w:rPr>
        <w:t xml:space="preserve">oil </w:t>
      </w:r>
      <w:r>
        <w:rPr>
          <w:sz w:val="18"/>
        </w:rPr>
        <w:t>v</w:t>
      </w:r>
      <w:r w:rsidRPr="0035601B">
        <w:rPr>
          <w:sz w:val="18"/>
        </w:rPr>
        <w:t xml:space="preserve">ariability on the </w:t>
      </w:r>
      <w:r>
        <w:rPr>
          <w:sz w:val="18"/>
        </w:rPr>
        <w:t>p</w:t>
      </w:r>
      <w:r w:rsidRPr="0035601B">
        <w:rPr>
          <w:sz w:val="18"/>
        </w:rPr>
        <w:t xml:space="preserve">enetration </w:t>
      </w:r>
      <w:r>
        <w:rPr>
          <w:sz w:val="18"/>
        </w:rPr>
        <w:t>depth of d</w:t>
      </w:r>
      <w:r w:rsidRPr="0035601B">
        <w:rPr>
          <w:sz w:val="18"/>
        </w:rPr>
        <w:t>ynamicall</w:t>
      </w:r>
      <w:r>
        <w:rPr>
          <w:sz w:val="18"/>
        </w:rPr>
        <w:t>y installed drop a</w:t>
      </w:r>
      <w:r w:rsidRPr="0035601B">
        <w:rPr>
          <w:sz w:val="18"/>
        </w:rPr>
        <w:t>nchors”, Offshore Technology Conference, Brazil, OTC paper 22396-PP, Oct. 2011.</w:t>
      </w:r>
    </w:p>
    <w:p w:rsidR="005973B9" w:rsidRDefault="00423957" w:rsidP="005973B9">
      <w:pPr>
        <w:pStyle w:val="ListParagraph"/>
        <w:numPr>
          <w:ilvl w:val="0"/>
          <w:numId w:val="3"/>
        </w:numPr>
        <w:tabs>
          <w:tab w:val="left" w:pos="384"/>
        </w:tabs>
        <w:spacing w:before="103" w:line="216" w:lineRule="exact"/>
        <w:ind w:right="138" w:hanging="283"/>
        <w:rPr>
          <w:sz w:val="18"/>
        </w:rPr>
      </w:pPr>
      <w:r>
        <w:rPr>
          <w:sz w:val="18"/>
        </w:rPr>
        <w:t>Lieng</w:t>
      </w:r>
      <w:r w:rsidR="001B297F">
        <w:rPr>
          <w:sz w:val="18"/>
        </w:rPr>
        <w:t xml:space="preserve"> JT</w:t>
      </w:r>
      <w:r w:rsidR="005973B9">
        <w:rPr>
          <w:sz w:val="18"/>
        </w:rPr>
        <w:t xml:space="preserve"> (20</w:t>
      </w:r>
      <w:r w:rsidR="001B297F">
        <w:rPr>
          <w:sz w:val="18"/>
        </w:rPr>
        <w:t>10</w:t>
      </w:r>
      <w:r w:rsidR="005973B9">
        <w:rPr>
          <w:sz w:val="18"/>
        </w:rPr>
        <w:t xml:space="preserve">) </w:t>
      </w:r>
      <w:r w:rsidR="001B297F">
        <w:rPr>
          <w:sz w:val="18"/>
        </w:rPr>
        <w:t xml:space="preserve">Installation of Two </w:t>
      </w:r>
      <w:r w:rsidR="00985A85">
        <w:rPr>
          <w:sz w:val="18"/>
        </w:rPr>
        <w:t>Prototype Deep Penetrating Anchors at the Gjøa Filed in the North Sea.</w:t>
      </w:r>
      <w:r w:rsidR="005973B9" w:rsidRPr="005973B9">
        <w:rPr>
          <w:sz w:val="18"/>
        </w:rPr>
        <w:t xml:space="preserve"> </w:t>
      </w:r>
      <w:r w:rsidR="00985A85">
        <w:rPr>
          <w:sz w:val="18"/>
        </w:rPr>
        <w:t>OTC 20758.</w:t>
      </w:r>
      <w:r w:rsidR="0069448B">
        <w:rPr>
          <w:sz w:val="18"/>
        </w:rPr>
        <w:br/>
      </w:r>
    </w:p>
    <w:p w:rsidR="0069448B" w:rsidRPr="0069448B" w:rsidRDefault="0069448B" w:rsidP="0069448B">
      <w:pPr>
        <w:pStyle w:val="BodyTextIndent3"/>
        <w:numPr>
          <w:ilvl w:val="0"/>
          <w:numId w:val="3"/>
        </w:numPr>
        <w:rPr>
          <w:rFonts w:ascii="Calibri" w:eastAsia="Calibri" w:hAnsi="Calibri" w:cs="Calibri"/>
          <w:sz w:val="18"/>
          <w:szCs w:val="22"/>
        </w:rPr>
      </w:pPr>
      <w:r w:rsidRPr="0069448B">
        <w:rPr>
          <w:rFonts w:ascii="Calibri" w:eastAsia="Calibri" w:hAnsi="Calibri" w:cs="Calibri"/>
          <w:sz w:val="18"/>
          <w:szCs w:val="22"/>
        </w:rPr>
        <w:t>Tjåland E, Haugland JI, Lieng J</w:t>
      </w:r>
      <w:r>
        <w:rPr>
          <w:rFonts w:ascii="Calibri" w:eastAsia="Calibri" w:hAnsi="Calibri" w:cs="Calibri"/>
          <w:sz w:val="18"/>
          <w:szCs w:val="22"/>
        </w:rPr>
        <w:t>T</w:t>
      </w:r>
      <w:r w:rsidRPr="0069448B">
        <w:rPr>
          <w:rFonts w:ascii="Calibri" w:eastAsia="Calibri" w:hAnsi="Calibri" w:cs="Calibri"/>
          <w:sz w:val="18"/>
          <w:szCs w:val="22"/>
        </w:rPr>
        <w:t xml:space="preserve"> </w:t>
      </w:r>
      <w:r>
        <w:rPr>
          <w:rFonts w:ascii="Calibri" w:eastAsia="Calibri" w:hAnsi="Calibri" w:cs="Calibri"/>
          <w:sz w:val="18"/>
          <w:szCs w:val="22"/>
        </w:rPr>
        <w:t xml:space="preserve">(2004) </w:t>
      </w:r>
      <w:r w:rsidRPr="0069448B">
        <w:rPr>
          <w:rFonts w:ascii="Calibri" w:eastAsia="Calibri" w:hAnsi="Calibri" w:cs="Calibri"/>
          <w:sz w:val="18"/>
          <w:szCs w:val="22"/>
        </w:rPr>
        <w:t>VibroPile – a marine shear wave source. Results from onshore field test, EAGE Paris June 2004.</w:t>
      </w:r>
    </w:p>
    <w:p w:rsidR="00423957" w:rsidRDefault="00423957" w:rsidP="005973B9">
      <w:pPr>
        <w:pStyle w:val="ListParagraph"/>
        <w:numPr>
          <w:ilvl w:val="0"/>
          <w:numId w:val="3"/>
        </w:numPr>
        <w:tabs>
          <w:tab w:val="left" w:pos="384"/>
        </w:tabs>
        <w:spacing w:before="103" w:line="216" w:lineRule="exact"/>
        <w:ind w:right="138" w:hanging="283"/>
        <w:rPr>
          <w:sz w:val="18"/>
        </w:rPr>
      </w:pPr>
      <w:r w:rsidRPr="0035601B">
        <w:rPr>
          <w:sz w:val="18"/>
        </w:rPr>
        <w:t xml:space="preserve">Lieng JT, Hove F, Tjelta TI (1999) </w:t>
      </w:r>
      <w:r w:rsidR="0035601B" w:rsidRPr="0035601B">
        <w:rPr>
          <w:sz w:val="18"/>
        </w:rPr>
        <w:t>Deep Penetrating Anchor: Sub-sebed deepwater anchor concept for floaters and other installations</w:t>
      </w:r>
      <w:r w:rsidR="0035601B">
        <w:rPr>
          <w:sz w:val="18"/>
        </w:rPr>
        <w:t>, ISOPE</w:t>
      </w:r>
      <w:r w:rsidR="0069448B">
        <w:rPr>
          <w:sz w:val="18"/>
        </w:rPr>
        <w:t xml:space="preserve"> 1999.</w:t>
      </w:r>
      <w:r w:rsidR="0035601B">
        <w:rPr>
          <w:sz w:val="18"/>
        </w:rPr>
        <w:t xml:space="preserve"> </w:t>
      </w:r>
    </w:p>
    <w:p w:rsidR="00AE3E37" w:rsidRPr="0035601B" w:rsidRDefault="00AE3E37" w:rsidP="0035601B">
      <w:pPr>
        <w:pStyle w:val="ListParagraph"/>
        <w:tabs>
          <w:tab w:val="left" w:pos="384"/>
        </w:tabs>
        <w:spacing w:before="103" w:line="216" w:lineRule="exact"/>
        <w:ind w:right="138" w:firstLine="0"/>
        <w:rPr>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D2988">
      <w:pPr>
        <w:pStyle w:val="BodyText"/>
        <w:spacing w:line="40" w:lineRule="exact"/>
        <w:ind w:left="2202"/>
        <w:rPr>
          <w:rFonts w:ascii="Calibri"/>
          <w:sz w:val="4"/>
        </w:rPr>
      </w:pPr>
      <w:r>
        <w:rPr>
          <w:rFonts w:ascii="Calibri"/>
          <w:noProof/>
          <w:sz w:val="4"/>
          <w:lang w:val="nb-NO" w:eastAsia="nb-NO"/>
        </w:rPr>
        <mc:AlternateContent>
          <mc:Choice Requires="wpg">
            <w:drawing>
              <wp:inline distT="0" distB="0" distL="0" distR="0">
                <wp:extent cx="3975735" cy="25400"/>
                <wp:effectExtent l="5080" t="3810" r="635"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rXEDe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SZ+cMAAADaAAAADwAAAGRycy9kb3ducmV2LnhtbESPT0sDMRTE74LfITyhN5tYyiJr0+If&#10;SpWeWvXg7bF5bpYmL2uSbtdvbwpCj8PM/IZZrEbvxEAxdYE13E0VCOImmI5bDR/v69t7ECkjG3SB&#10;ScMvJVgtr68WWJtw4h0N+9yKAuFUowabc19LmRpLHtM09MTF+w7RYy4yttJEPBW4d3KmVCU9dlwW&#10;LPb0bKk57I9eg9r9VFa9uLfD8JSHr43bzj+7qPXkZnx8AJFpzJfwf/vVaKjgfKXc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0mfnDAAAA2gAAAA8AAAAAAAAAAAAA&#10;AAAAoQIAAGRycy9kb3ducmV2LnhtbFBLBQYAAAAABAAEAPkAAACRAwAAAAA=&#10;" strokecolor="#004080" strokeweight="2pt"/>
                <w10:anchorlock/>
              </v:group>
            </w:pict>
          </mc:Fallback>
        </mc:AlternateContent>
      </w:r>
    </w:p>
    <w:p w:rsidR="00AE3E37" w:rsidRDefault="001B297F" w:rsidP="00404E5B">
      <w:pPr>
        <w:spacing w:before="92"/>
        <w:ind w:right="4234"/>
        <w:rPr>
          <w:rFonts w:ascii="Arial"/>
        </w:rPr>
      </w:pPr>
      <w:r>
        <w:rPr>
          <w:rFonts w:ascii="Arial"/>
          <w:noProof/>
          <w:color w:val="BF5A14"/>
          <w:lang w:val="nb-NO" w:eastAsia="nb-NO"/>
        </w:rPr>
        <w:drawing>
          <wp:inline distT="0" distB="0" distL="0" distR="0">
            <wp:extent cx="594450" cy="6254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TL 2014.jpg"/>
                    <pic:cNvPicPr/>
                  </pic:nvPicPr>
                  <pic:blipFill rotWithShape="1">
                    <a:blip r:embed="rId10" cstate="print">
                      <a:extLst>
                        <a:ext uri="{28A0092B-C50C-407E-A947-70E740481C1C}">
                          <a14:useLocalDpi xmlns:a14="http://schemas.microsoft.com/office/drawing/2010/main" val="0"/>
                        </a:ext>
                      </a:extLst>
                    </a:blip>
                    <a:srcRect l="32823" t="26149" r="32025" b="24553"/>
                    <a:stretch/>
                  </pic:blipFill>
                  <pic:spPr bwMode="auto">
                    <a:xfrm>
                      <a:off x="0" y="0"/>
                      <a:ext cx="594805" cy="625823"/>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A10871" w:rsidRPr="00A10871" w:rsidRDefault="00A10871" w:rsidP="00A52AE8">
      <w:pPr>
        <w:tabs>
          <w:tab w:val="left" w:pos="-1440"/>
        </w:tabs>
        <w:ind w:hanging="11"/>
        <w:jc w:val="both"/>
        <w:rPr>
          <w:rFonts w:ascii="Arial"/>
          <w:sz w:val="14"/>
        </w:rPr>
      </w:pPr>
      <w:r w:rsidRPr="00A10871">
        <w:rPr>
          <w:rFonts w:ascii="Arial"/>
          <w:sz w:val="14"/>
        </w:rPr>
        <w:t xml:space="preserve">Over 40 years of experience in marine </w:t>
      </w:r>
      <w:r>
        <w:rPr>
          <w:rFonts w:ascii="Arial"/>
          <w:sz w:val="14"/>
        </w:rPr>
        <w:t xml:space="preserve">technology and marine </w:t>
      </w:r>
      <w:r w:rsidRPr="00A10871">
        <w:rPr>
          <w:rFonts w:ascii="Arial"/>
          <w:sz w:val="14"/>
        </w:rPr>
        <w:t xml:space="preserve">geotechnical analyses with special emphasis on piled or suction anchor subsea installations but also jacket platforms, gravity based structures and stability of rockfills on soft sediments in difficult seabed terrain. </w:t>
      </w:r>
      <w:r w:rsidR="00726318">
        <w:rPr>
          <w:rFonts w:ascii="Arial"/>
          <w:sz w:val="14"/>
        </w:rPr>
        <w:t xml:space="preserve">Establish </w:t>
      </w:r>
      <w:r w:rsidR="00A52AE8">
        <w:rPr>
          <w:rFonts w:ascii="Arial"/>
          <w:sz w:val="14"/>
        </w:rPr>
        <w:t>the</w:t>
      </w:r>
      <w:r w:rsidR="00726318">
        <w:rPr>
          <w:rFonts w:ascii="Arial"/>
          <w:sz w:val="14"/>
        </w:rPr>
        <w:t xml:space="preserve"> spinoff company GeoProbing Technology after 18 years at SINTEF as a research scientist in Trondheim Norway based on a concept for mapping oil and gas reservoirs using own developed technology for shear wave generation.    Later introduced the</w:t>
      </w:r>
      <w:r w:rsidR="00A52AE8">
        <w:rPr>
          <w:rFonts w:ascii="Arial"/>
          <w:sz w:val="14"/>
        </w:rPr>
        <w:t xml:space="preserve"> gravity installed </w:t>
      </w:r>
      <w:r w:rsidR="00726318">
        <w:rPr>
          <w:rFonts w:ascii="Arial"/>
          <w:sz w:val="14"/>
        </w:rPr>
        <w:t xml:space="preserve">DPA concept for </w:t>
      </w:r>
      <w:r w:rsidR="00A52AE8">
        <w:rPr>
          <w:rFonts w:ascii="Arial"/>
          <w:sz w:val="14"/>
        </w:rPr>
        <w:t xml:space="preserve">anchoring floating offshore structures which resulted in the company Dee Sea Anchors. </w:t>
      </w:r>
      <w:r w:rsidRPr="00A10871">
        <w:rPr>
          <w:rFonts w:ascii="Arial"/>
          <w:sz w:val="14"/>
        </w:rPr>
        <w:t>Experience has also been gained in teaching in mathematics, mechanics and soil mechanics.</w:t>
      </w:r>
    </w:p>
    <w:p w:rsidR="00AE3E37" w:rsidRDefault="00A9710C">
      <w:pPr>
        <w:spacing w:before="62"/>
        <w:ind w:left="4217" w:right="4235"/>
        <w:jc w:val="center"/>
        <w:rPr>
          <w:rFonts w:ascii="Arial"/>
          <w:sz w:val="14"/>
        </w:rPr>
      </w:pPr>
      <w:r>
        <w:rPr>
          <w:rFonts w:ascii="Arial"/>
          <w:sz w:val="14"/>
        </w:rPr>
        <w:t xml:space="preserve">Email: </w:t>
      </w:r>
      <w:hyperlink r:id="rId11" w:history="1">
        <w:r w:rsidR="00726318" w:rsidRPr="00ED62D2">
          <w:rPr>
            <w:rStyle w:val="Hyperlink"/>
            <w:rFonts w:ascii="Arial"/>
            <w:sz w:val="14"/>
          </w:rPr>
          <w:t>jon.leing@deepseaanchors.com</w:t>
        </w:r>
      </w:hyperlink>
    </w:p>
    <w:p w:rsidR="00AE3E37" w:rsidRDefault="006D2988">
      <w:pPr>
        <w:pStyle w:val="BodyText"/>
        <w:spacing w:before="2"/>
        <w:rPr>
          <w:rFonts w:ascii="Arial"/>
          <w:sz w:val="19"/>
        </w:rPr>
      </w:pPr>
      <w:r>
        <w:rPr>
          <w:noProof/>
          <w:lang w:val="nb-NO" w:eastAsia="nb-NO"/>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E4E" w:rsidRDefault="00D94E4E">
      <w:r>
        <w:separator/>
      </w:r>
    </w:p>
  </w:endnote>
  <w:endnote w:type="continuationSeparator" w:id="0">
    <w:p w:rsidR="00D94E4E" w:rsidRDefault="00D94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D2988">
    <w:pPr>
      <w:pStyle w:val="BodyText"/>
      <w:spacing w:line="14" w:lineRule="auto"/>
      <w:rPr>
        <w:sz w:val="20"/>
      </w:rPr>
    </w:pPr>
    <w:r>
      <w:rPr>
        <w:noProof/>
        <w:lang w:val="nb-NO" w:eastAsia="nb-N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nb-NO" w:eastAsia="nb-N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nb-NO" w:eastAsia="nb-N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E4E" w:rsidRDefault="00D94E4E">
      <w:r>
        <w:separator/>
      </w:r>
    </w:p>
  </w:footnote>
  <w:footnote w:type="continuationSeparator" w:id="0">
    <w:p w:rsidR="00D94E4E" w:rsidRDefault="00D94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D2988">
    <w:pPr>
      <w:pStyle w:val="BodyText"/>
      <w:spacing w:line="14" w:lineRule="auto"/>
      <w:rPr>
        <w:sz w:val="20"/>
      </w:rPr>
    </w:pPr>
    <w:r>
      <w:rPr>
        <w:noProof/>
        <w:lang w:val="nb-NO" w:eastAsia="nb-N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nb-NO" w:eastAsia="nb-N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F98"/>
    <w:rsid w:val="000E2911"/>
    <w:rsid w:val="001263DF"/>
    <w:rsid w:val="001B297F"/>
    <w:rsid w:val="00292ED9"/>
    <w:rsid w:val="0035601B"/>
    <w:rsid w:val="00362333"/>
    <w:rsid w:val="00404E5B"/>
    <w:rsid w:val="00414F7B"/>
    <w:rsid w:val="00423957"/>
    <w:rsid w:val="0042758D"/>
    <w:rsid w:val="004355DC"/>
    <w:rsid w:val="004749B4"/>
    <w:rsid w:val="00494130"/>
    <w:rsid w:val="004F3523"/>
    <w:rsid w:val="005973B9"/>
    <w:rsid w:val="005B3A56"/>
    <w:rsid w:val="006060CE"/>
    <w:rsid w:val="0063497F"/>
    <w:rsid w:val="0069448B"/>
    <w:rsid w:val="006D2988"/>
    <w:rsid w:val="00726318"/>
    <w:rsid w:val="007863B4"/>
    <w:rsid w:val="007E2F3A"/>
    <w:rsid w:val="00873DF0"/>
    <w:rsid w:val="008756E6"/>
    <w:rsid w:val="00972752"/>
    <w:rsid w:val="00985A85"/>
    <w:rsid w:val="009B2D44"/>
    <w:rsid w:val="00A07E82"/>
    <w:rsid w:val="00A10871"/>
    <w:rsid w:val="00A52AE8"/>
    <w:rsid w:val="00A86EC9"/>
    <w:rsid w:val="00A9710C"/>
    <w:rsid w:val="00AE3E37"/>
    <w:rsid w:val="00B21A57"/>
    <w:rsid w:val="00B73F8B"/>
    <w:rsid w:val="00C33602"/>
    <w:rsid w:val="00CD6F55"/>
    <w:rsid w:val="00D94E4E"/>
    <w:rsid w:val="00DE3104"/>
    <w:rsid w:val="00EC7B82"/>
    <w:rsid w:val="00F53956"/>
    <w:rsid w:val="00F72EEA"/>
    <w:rsid w:val="00F84CAE"/>
    <w:rsid w:val="00FF3EA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3">
    <w:name w:val="Body Text Indent 3"/>
    <w:basedOn w:val="Normal"/>
    <w:link w:val="BodyTextIndent3Char"/>
    <w:uiPriority w:val="99"/>
    <w:semiHidden/>
    <w:unhideWhenUsed/>
    <w:rsid w:val="0035601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5601B"/>
    <w:rPr>
      <w:rFonts w:ascii="Tw Cen MT" w:eastAsia="Tw Cen MT" w:hAnsi="Tw Cen MT" w:cs="Tw Cen M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3">
    <w:name w:val="Body Text Indent 3"/>
    <w:basedOn w:val="Normal"/>
    <w:link w:val="BodyTextIndent3Char"/>
    <w:uiPriority w:val="99"/>
    <w:semiHidden/>
    <w:unhideWhenUsed/>
    <w:rsid w:val="0035601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5601B"/>
    <w:rPr>
      <w:rFonts w:ascii="Tw Cen MT" w:eastAsia="Tw Cen MT" w:hAnsi="Tw Cen MT" w:cs="Tw Cen M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on.leing@deepseaanchors.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513</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JonT</cp:lastModifiedBy>
  <cp:revision>2</cp:revision>
  <dcterms:created xsi:type="dcterms:W3CDTF">2019-02-27T12:23:00Z</dcterms:created>
  <dcterms:modified xsi:type="dcterms:W3CDTF">2019-02-27T12:23:00Z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