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02F" w:rsidRPr="005B3090" w:rsidRDefault="00E9202F" w:rsidP="00E9202F">
      <w:pPr>
        <w:pStyle w:val="Heading1"/>
        <w:spacing w:before="170"/>
        <w:ind w:left="0"/>
        <w:jc w:val="both"/>
        <w:rPr>
          <w:color w:val="1F497D" w:themeColor="text2"/>
        </w:rPr>
      </w:pPr>
      <w:r w:rsidRPr="005B3090">
        <w:rPr>
          <w:color w:val="1F497D" w:themeColor="text2"/>
        </w:rPr>
        <w:t>Biomass Energy Production, Energy Imports and Economic Growth. Multivariate Panel Data Evidence for IEA-30 Countries</w:t>
      </w:r>
    </w:p>
    <w:p w:rsidR="00E9202F" w:rsidRDefault="00E9202F" w:rsidP="00E9202F">
      <w:pPr>
        <w:pStyle w:val="BodyText"/>
        <w:spacing w:before="73" w:line="198" w:lineRule="exact"/>
        <w:ind w:left="100" w:right="5987"/>
        <w:rPr>
          <w:rFonts w:ascii="Arial"/>
        </w:rPr>
      </w:pPr>
      <w:r>
        <w:rPr>
          <w:rFonts w:ascii="Arial"/>
        </w:rPr>
        <w:t>Bismark Ameyaw and Professor Li Yao</w:t>
      </w:r>
    </w:p>
    <w:p w:rsidR="00E9202F" w:rsidRDefault="00E9202F" w:rsidP="00E9202F">
      <w:pPr>
        <w:pStyle w:val="BodyText"/>
        <w:spacing w:before="73" w:line="198" w:lineRule="exact"/>
        <w:ind w:left="100" w:right="5987"/>
        <w:jc w:val="both"/>
        <w:rPr>
          <w:rFonts w:ascii="Arial"/>
        </w:rPr>
      </w:pPr>
      <w:r w:rsidRPr="005B3090">
        <w:rPr>
          <w:rFonts w:ascii="Arial"/>
        </w:rPr>
        <w:t>School of Manageme</w:t>
      </w:r>
      <w:r>
        <w:rPr>
          <w:rFonts w:ascii="Arial"/>
        </w:rPr>
        <w:t xml:space="preserve">nt and Economics, University of </w:t>
      </w:r>
      <w:r w:rsidRPr="005B3090">
        <w:rPr>
          <w:rFonts w:ascii="Arial"/>
        </w:rPr>
        <w:t>Electronic Science and Technology of China; No.2006, Xiyuan Ave, West Hi-Tech Zone, 611731, Chengdu, Sichuan, P.R. China.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E9202F">
      <w:pPr>
        <w:pStyle w:val="BodyText"/>
        <w:spacing w:before="90" w:line="280" w:lineRule="auto"/>
        <w:ind w:left="100"/>
        <w:jc w:val="both"/>
      </w:pPr>
      <w:r w:rsidRPr="005B3090">
        <w:rPr>
          <w:rFonts w:ascii="Times New Roman" w:eastAsiaTheme="minorHAnsi" w:hAnsi="Times New Roman" w:cs="Times New Roman"/>
          <w:color w:val="000000"/>
        </w:rPr>
        <w:t xml:space="preserve">Energy is considered a vital element that influences economic growth. The contemporary increase in worldwide population drives greater energy generation demand from conventional exhaustible resources. Energy generated from exhaustible resources endanger the environment and imperils economic development. However, switching to the production of renewable energies from naturally replenished resources addresses issues of global warming and climate change and further grants energy security. Also, country-based sustained economic growth is likely to trigger a surge in energy imports. Therefore, the aim of this current study is to investigate </w:t>
      </w:r>
      <w:r>
        <w:rPr>
          <w:rFonts w:ascii="Times New Roman" w:eastAsiaTheme="minorHAnsi" w:hAnsi="Times New Roman" w:cs="Times New Roman"/>
          <w:color w:val="000000"/>
        </w:rPr>
        <w:t>the nexus between total biomass</w:t>
      </w:r>
      <w:r w:rsidRPr="005B3090">
        <w:rPr>
          <w:rFonts w:ascii="Times New Roman" w:eastAsiaTheme="minorHAnsi" w:hAnsi="Times New Roman" w:cs="Times New Roman"/>
          <w:color w:val="000000"/>
        </w:rPr>
        <w:t xml:space="preserve"> energy production, energy imports and economic growth for International Energy Administration (IEA)-30 countries for the period of 2000-2015. Our panel fully modified and dynamic ordinary least squares regression shows a significant positive influence of total primary renewable energy production on economic growth. Thus, a percentage increase in primary renewable energy production increases Gross Domestic Product (GDP) per capita by 0.04%-0.05%. For our panel vector error correction model based causality nexus, we notice that in both the short and long-run, there exist unidirectional causality running from economic growth and energy imp</w:t>
      </w:r>
      <w:r>
        <w:rPr>
          <w:rFonts w:ascii="Times New Roman" w:eastAsiaTheme="minorHAnsi" w:hAnsi="Times New Roman" w:cs="Times New Roman"/>
          <w:color w:val="000000"/>
        </w:rPr>
        <w:t xml:space="preserve">orts to total biomass </w:t>
      </w:r>
      <w:r w:rsidRPr="005B3090">
        <w:rPr>
          <w:rFonts w:ascii="Times New Roman" w:eastAsiaTheme="minorHAnsi" w:hAnsi="Times New Roman" w:cs="Times New Roman"/>
          <w:color w:val="000000"/>
        </w:rPr>
        <w:t>energy production which supports the conservation hypothesis. The findings indicate that economic growth and en</w:t>
      </w:r>
      <w:r>
        <w:rPr>
          <w:rFonts w:ascii="Times New Roman" w:eastAsiaTheme="minorHAnsi" w:hAnsi="Times New Roman" w:cs="Times New Roman"/>
          <w:color w:val="000000"/>
        </w:rPr>
        <w:t>ergy imports drive total biomass</w:t>
      </w:r>
      <w:r w:rsidRPr="005B3090">
        <w:rPr>
          <w:rFonts w:ascii="Times New Roman" w:eastAsiaTheme="minorHAnsi" w:hAnsi="Times New Roman" w:cs="Times New Roman"/>
          <w:color w:val="000000"/>
        </w:rPr>
        <w:t xml:space="preserve"> energy production. This study guides policymakers in formulating a conclusive energy and trade po</w:t>
      </w:r>
      <w:r>
        <w:rPr>
          <w:rFonts w:ascii="Times New Roman" w:eastAsiaTheme="minorHAnsi" w:hAnsi="Times New Roman" w:cs="Times New Roman"/>
          <w:color w:val="000000"/>
        </w:rPr>
        <w:t>licies</w:t>
      </w:r>
      <w:r w:rsidRPr="005B3090">
        <w:rPr>
          <w:rFonts w:ascii="Times New Roman" w:eastAsiaTheme="minorHAnsi" w:hAnsi="Times New Roman" w:cs="Times New Roman"/>
          <w:color w:val="000000"/>
        </w:rPr>
        <w:t xml:space="preserve"> for sustainable econ</w:t>
      </w:r>
      <w:r>
        <w:rPr>
          <w:rFonts w:ascii="Times New Roman" w:eastAsiaTheme="minorHAnsi" w:hAnsi="Times New Roman" w:cs="Times New Roman"/>
          <w:color w:val="000000"/>
        </w:rPr>
        <w:t>omic growth</w:t>
      </w:r>
      <w:r w:rsidRPr="005B3090">
        <w:rPr>
          <w:rFonts w:ascii="Times New Roman" w:eastAsiaTheme="minorHAnsi" w:hAnsi="Times New Roman" w:cs="Times New Roman"/>
          <w:color w:val="000000"/>
        </w:rPr>
        <w:t>.</w:t>
      </w:r>
      <w:r w:rsidR="00A9710C">
        <w:t xml:space="preserve"> </w:t>
      </w:r>
    </w:p>
    <w:p w:rsidR="00E9202F" w:rsidRDefault="00E9202F">
      <w:pPr>
        <w:pStyle w:val="BodyText"/>
        <w:spacing w:before="90" w:line="280" w:lineRule="auto"/>
        <w:ind w:left="100"/>
        <w:jc w:val="both"/>
      </w:pPr>
    </w:p>
    <w:p w:rsidR="00E9202F" w:rsidRPr="00C256DF" w:rsidRDefault="00E9202F" w:rsidP="00E9202F">
      <w:pPr>
        <w:pStyle w:val="Heading3"/>
        <w:spacing w:before="74"/>
        <w:ind w:left="0"/>
        <w:rPr>
          <w:color w:val="BF5A14"/>
        </w:rPr>
      </w:pPr>
      <w:r>
        <w:rPr>
          <w:color w:val="BF5A14"/>
        </w:rPr>
        <w:t>Synopsis of our Econometric Model Formulation</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 xml:space="preserve"> Our primary </w:t>
      </w:r>
      <w:r>
        <w:rPr>
          <w:rFonts w:ascii="Times New Roman" w:eastAsia="Calibri" w:hAnsi="Times New Roman" w:cs="Times New Roman"/>
          <w:sz w:val="20"/>
          <w:szCs w:val="20"/>
        </w:rPr>
        <w:t xml:space="preserve">focus is to investigate the nexus between biomass </w:t>
      </w:r>
      <w:r w:rsidRPr="00C256DF">
        <w:rPr>
          <w:rFonts w:ascii="Times New Roman" w:eastAsia="Calibri" w:hAnsi="Times New Roman" w:cs="Times New Roman"/>
          <w:sz w:val="20"/>
          <w:szCs w:val="20"/>
        </w:rPr>
        <w:t xml:space="preserve">energy production, energy imports and economic growth with a panel data fixed-effects regression model specified as follows: </w:t>
      </w:r>
    </w:p>
    <w:p w:rsidR="00E9202F" w:rsidRPr="00C256DF" w:rsidRDefault="00E9202F" w:rsidP="00E9202F">
      <w:pPr>
        <w:widowControl/>
        <w:spacing w:after="160" w:line="259" w:lineRule="auto"/>
        <w:ind w:firstLine="720"/>
        <w:jc w:val="both"/>
        <w:rPr>
          <w:rFonts w:ascii="Times New Roman" w:eastAsia="Calibri" w:hAnsi="Times New Roman" w:cs="Times New Roman"/>
          <w:sz w:val="20"/>
          <w:szCs w:val="20"/>
        </w:rPr>
      </w:pPr>
      <w:r w:rsidRPr="00C256DF">
        <w:rPr>
          <w:rFonts w:ascii="Times New Roman" w:eastAsia="Calibri" w:hAnsi="Times New Roman" w:cs="Times New Roman"/>
          <w:position w:val="-12"/>
          <w:sz w:val="20"/>
          <w:szCs w:val="20"/>
        </w:rPr>
        <w:object w:dxaOrig="2552" w:dyaOrig="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8pt;height:18pt" o:ole="">
            <v:imagedata r:id="rId8" o:title=""/>
          </v:shape>
          <o:OLEObject Type="Embed" ProgID="Equation.DSMT4" ShapeID="_x0000_i1025" DrawAspect="Content" ObjectID="_1597392107" r:id="rId9"/>
        </w:object>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t>(1)</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 xml:space="preserve">Where </w:t>
      </w:r>
      <w:r w:rsidRPr="00C256DF">
        <w:rPr>
          <w:rFonts w:ascii="Times New Roman" w:eastAsia="Calibri" w:hAnsi="Times New Roman" w:cs="Times New Roman"/>
          <w:position w:val="-4"/>
          <w:sz w:val="20"/>
          <w:szCs w:val="20"/>
        </w:rPr>
        <w:object w:dxaOrig="237" w:dyaOrig="264">
          <v:shape id="_x0000_i1026" type="#_x0000_t75" style="width:12pt;height:13.2pt" o:ole="">
            <v:imagedata r:id="rId10" o:title=""/>
          </v:shape>
          <o:OLEObject Type="Embed" ProgID="Equation.DSMT4" ShapeID="_x0000_i1026" DrawAspect="Content" ObjectID="_1597392108" r:id="rId11"/>
        </w:object>
      </w:r>
      <w:r w:rsidRPr="00C256DF">
        <w:rPr>
          <w:rFonts w:ascii="Times New Roman" w:eastAsia="Calibri" w:hAnsi="Times New Roman" w:cs="Times New Roman"/>
          <w:sz w:val="20"/>
          <w:szCs w:val="20"/>
        </w:rPr>
        <w:t xml:space="preserve">denotes the dependent variable gross domestic product per capita (GDPC) in logarithm values; </w:t>
      </w:r>
      <w:r w:rsidRPr="00C256DF">
        <w:rPr>
          <w:rFonts w:ascii="Times New Roman" w:eastAsia="Calibri" w:hAnsi="Times New Roman" w:cs="Times New Roman"/>
          <w:position w:val="-4"/>
          <w:sz w:val="20"/>
          <w:szCs w:val="20"/>
        </w:rPr>
        <w:object w:dxaOrig="219" w:dyaOrig="264">
          <v:shape id="_x0000_i1027" type="#_x0000_t75" style="width:10.8pt;height:13.2pt" o:ole="">
            <v:imagedata r:id="rId12" o:title=""/>
          </v:shape>
          <o:OLEObject Type="Embed" ProgID="Equation.DSMT4" ShapeID="_x0000_i1027" DrawAspect="Content" ObjectID="_1597392109" r:id="rId13"/>
        </w:object>
      </w:r>
      <w:r w:rsidRPr="00C256DF">
        <w:rPr>
          <w:rFonts w:ascii="Times New Roman" w:eastAsia="Calibri" w:hAnsi="Times New Roman" w:cs="Times New Roman"/>
          <w:sz w:val="20"/>
          <w:szCs w:val="20"/>
        </w:rPr>
        <w:t>represents</w:t>
      </w:r>
      <w:r>
        <w:rPr>
          <w:rFonts w:ascii="Times New Roman" w:eastAsia="Calibri" w:hAnsi="Times New Roman" w:cs="Times New Roman"/>
          <w:sz w:val="20"/>
          <w:szCs w:val="20"/>
        </w:rPr>
        <w:t xml:space="preserve"> total biomass </w:t>
      </w:r>
      <w:r w:rsidRPr="00C256DF">
        <w:rPr>
          <w:rFonts w:ascii="Times New Roman" w:eastAsia="Calibri" w:hAnsi="Times New Roman" w:cs="Times New Roman"/>
          <w:sz w:val="20"/>
          <w:szCs w:val="20"/>
        </w:rPr>
        <w:t xml:space="preserve">energy produced; </w:t>
      </w:r>
      <w:r w:rsidRPr="00C256DF">
        <w:rPr>
          <w:rFonts w:ascii="Times New Roman" w:eastAsia="Calibri" w:hAnsi="Times New Roman" w:cs="Times New Roman"/>
          <w:position w:val="-6"/>
          <w:sz w:val="20"/>
          <w:szCs w:val="20"/>
        </w:rPr>
        <w:object w:dxaOrig="237" w:dyaOrig="273">
          <v:shape id="_x0000_i1028" type="#_x0000_t75" style="width:12pt;height:13.8pt" o:ole="">
            <v:imagedata r:id="rId14" o:title=""/>
          </v:shape>
          <o:OLEObject Type="Embed" ProgID="Equation.DSMT4" ShapeID="_x0000_i1028" DrawAspect="Content" ObjectID="_1597392110" r:id="rId15"/>
        </w:object>
      </w:r>
      <w:r w:rsidRPr="00C256DF">
        <w:rPr>
          <w:rFonts w:ascii="Times New Roman" w:eastAsia="Calibri" w:hAnsi="Times New Roman" w:cs="Times New Roman"/>
          <w:sz w:val="20"/>
          <w:szCs w:val="20"/>
        </w:rPr>
        <w:t xml:space="preserve">represents each IEA member country-level control variables; </w:t>
      </w:r>
      <w:r w:rsidRPr="00C256DF">
        <w:rPr>
          <w:rFonts w:ascii="Times New Roman" w:eastAsia="Calibri" w:hAnsi="Times New Roman" w:cs="Times New Roman"/>
          <w:position w:val="-6"/>
          <w:sz w:val="20"/>
          <w:szCs w:val="20"/>
        </w:rPr>
        <w:object w:dxaOrig="237" w:dyaOrig="219">
          <v:shape id="_x0000_i1029" type="#_x0000_t75" style="width:12pt;height:10.8pt" o:ole="">
            <v:imagedata r:id="rId16" o:title=""/>
          </v:shape>
          <o:OLEObject Type="Embed" ProgID="Equation.DSMT4" ShapeID="_x0000_i1029" DrawAspect="Content" ObjectID="_1597392111" r:id="rId17"/>
        </w:object>
      </w:r>
      <w:r w:rsidRPr="00C256DF">
        <w:rPr>
          <w:rFonts w:ascii="Times New Roman" w:eastAsia="Calibri" w:hAnsi="Times New Roman" w:cs="Times New Roman"/>
          <w:sz w:val="20"/>
          <w:szCs w:val="20"/>
        </w:rPr>
        <w:t xml:space="preserve">is the intercept or constant and </w:t>
      </w:r>
      <w:r w:rsidRPr="00C256DF">
        <w:rPr>
          <w:rFonts w:ascii="Times New Roman" w:eastAsia="Calibri" w:hAnsi="Times New Roman" w:cs="Times New Roman"/>
          <w:position w:val="-12"/>
          <w:sz w:val="20"/>
          <w:szCs w:val="20"/>
        </w:rPr>
        <w:object w:dxaOrig="264" w:dyaOrig="365">
          <v:shape id="_x0000_i1030" type="#_x0000_t75" style="width:13.2pt;height:18pt" o:ole="">
            <v:imagedata r:id="rId18" o:title=""/>
          </v:shape>
          <o:OLEObject Type="Embed" ProgID="Equation.DSMT4" ShapeID="_x0000_i1030" DrawAspect="Content" ObjectID="_1597392112" r:id="rId19"/>
        </w:object>
      </w:r>
      <w:r w:rsidRPr="00C256DF">
        <w:rPr>
          <w:rFonts w:ascii="Times New Roman" w:eastAsia="Calibri" w:hAnsi="Times New Roman" w:cs="Times New Roman"/>
          <w:sz w:val="20"/>
          <w:szCs w:val="20"/>
        </w:rPr>
        <w:t>a</w:t>
      </w:r>
      <w:r>
        <w:rPr>
          <w:rFonts w:ascii="Times New Roman" w:eastAsia="Calibri" w:hAnsi="Times New Roman" w:cs="Times New Roman"/>
          <w:sz w:val="20"/>
          <w:szCs w:val="20"/>
        </w:rPr>
        <w:t>nd</w:t>
      </w:r>
      <w:r w:rsidRPr="00C256DF">
        <w:rPr>
          <w:rFonts w:ascii="Times New Roman" w:eastAsia="Calibri" w:hAnsi="Times New Roman" w:cs="Times New Roman"/>
          <w:position w:val="-12"/>
          <w:sz w:val="20"/>
          <w:szCs w:val="20"/>
        </w:rPr>
        <w:object w:dxaOrig="301" w:dyaOrig="365">
          <v:shape id="_x0000_i1031" type="#_x0000_t75" style="width:15pt;height:18pt" o:ole="">
            <v:imagedata r:id="rId20" o:title=""/>
          </v:shape>
          <o:OLEObject Type="Embed" ProgID="Equation.DSMT4" ShapeID="_x0000_i1031" DrawAspect="Content" ObjectID="_1597392113" r:id="rId21"/>
        </w:object>
      </w:r>
      <w:r>
        <w:rPr>
          <w:rFonts w:ascii="Times New Roman" w:eastAsia="Calibri" w:hAnsi="Times New Roman" w:cs="Times New Roman"/>
          <w:sz w:val="20"/>
          <w:szCs w:val="20"/>
        </w:rPr>
        <w:t>a</w:t>
      </w:r>
      <w:r w:rsidRPr="00C256DF">
        <w:rPr>
          <w:rFonts w:ascii="Times New Roman" w:eastAsia="Calibri" w:hAnsi="Times New Roman" w:cs="Times New Roman"/>
          <w:sz w:val="20"/>
          <w:szCs w:val="20"/>
        </w:rPr>
        <w:t>re the parameters;</w:t>
      </w:r>
      <w:r w:rsidRPr="00C256DF">
        <w:rPr>
          <w:rFonts w:ascii="Times New Roman" w:eastAsia="Calibri" w:hAnsi="Times New Roman" w:cs="Times New Roman"/>
          <w:position w:val="-6"/>
          <w:sz w:val="20"/>
          <w:szCs w:val="20"/>
        </w:rPr>
        <w:object w:dxaOrig="201" w:dyaOrig="219">
          <v:shape id="_x0000_i1032" type="#_x0000_t75" style="width:10.2pt;height:10.8pt" o:ole="">
            <v:imagedata r:id="rId22" o:title=""/>
          </v:shape>
          <o:OLEObject Type="Embed" ProgID="Equation.DSMT4" ShapeID="_x0000_i1032" DrawAspect="Content" ObjectID="_1597392114" r:id="rId23"/>
        </w:object>
      </w:r>
      <w:r w:rsidRPr="00C256DF">
        <w:rPr>
          <w:rFonts w:ascii="Times New Roman" w:eastAsia="Calibri" w:hAnsi="Times New Roman" w:cs="Times New Roman"/>
          <w:sz w:val="20"/>
          <w:szCs w:val="20"/>
        </w:rPr>
        <w:t xml:space="preserve">is the stochastic error term; </w:t>
      </w:r>
      <w:r w:rsidRPr="00C256DF">
        <w:rPr>
          <w:rFonts w:ascii="Times New Roman" w:eastAsia="Calibri" w:hAnsi="Times New Roman" w:cs="Times New Roman"/>
          <w:position w:val="-6"/>
          <w:sz w:val="20"/>
          <w:szCs w:val="20"/>
        </w:rPr>
        <w:object w:dxaOrig="146" w:dyaOrig="264">
          <v:shape id="_x0000_i1033" type="#_x0000_t75" style="width:7.2pt;height:13.2pt" o:ole="">
            <v:imagedata r:id="rId24" o:title=""/>
          </v:shape>
          <o:OLEObject Type="Embed" ProgID="Equation.DSMT4" ShapeID="_x0000_i1033" DrawAspect="Content" ObjectID="_1597392115" r:id="rId25"/>
        </w:object>
      </w:r>
      <w:r w:rsidRPr="00C256DF">
        <w:rPr>
          <w:rFonts w:ascii="Times New Roman" w:eastAsia="Calibri" w:hAnsi="Times New Roman" w:cs="Times New Roman"/>
          <w:sz w:val="20"/>
          <w:szCs w:val="20"/>
        </w:rPr>
        <w:t>is the subscript of each IEA member states where</w:t>
      </w:r>
      <w:r w:rsidRPr="00C256DF">
        <w:rPr>
          <w:rFonts w:ascii="Times New Roman" w:eastAsia="Calibri" w:hAnsi="Times New Roman" w:cs="Times New Roman"/>
          <w:position w:val="-10"/>
          <w:sz w:val="20"/>
          <w:szCs w:val="20"/>
        </w:rPr>
        <w:object w:dxaOrig="1239" w:dyaOrig="328">
          <v:shape id="_x0000_i1034" type="#_x0000_t75" style="width:61.8pt;height:16.2pt" o:ole="">
            <v:imagedata r:id="rId26" o:title=""/>
          </v:shape>
          <o:OLEObject Type="Embed" ProgID="Equation.DSMT4" ShapeID="_x0000_i1034" DrawAspect="Content" ObjectID="_1597392116" r:id="rId27"/>
        </w:object>
      </w:r>
      <w:r w:rsidRPr="00C256DF">
        <w:rPr>
          <w:rFonts w:ascii="Times New Roman" w:eastAsia="Calibri" w:hAnsi="Times New Roman" w:cs="Times New Roman"/>
          <w:sz w:val="20"/>
          <w:szCs w:val="20"/>
        </w:rPr>
        <w:t xml:space="preserve">, and </w:t>
      </w:r>
      <w:r w:rsidRPr="00C256DF">
        <w:rPr>
          <w:rFonts w:ascii="Times New Roman" w:eastAsia="Calibri" w:hAnsi="Times New Roman" w:cs="Times New Roman"/>
          <w:position w:val="-6"/>
          <w:sz w:val="20"/>
          <w:szCs w:val="20"/>
        </w:rPr>
        <w:object w:dxaOrig="146" w:dyaOrig="237">
          <v:shape id="_x0000_i1035" type="#_x0000_t75" style="width:7.2pt;height:12pt" o:ole="">
            <v:imagedata r:id="rId28" o:title=""/>
          </v:shape>
          <o:OLEObject Type="Embed" ProgID="Equation.DSMT4" ShapeID="_x0000_i1035" DrawAspect="Content" ObjectID="_1597392117" r:id="rId29"/>
        </w:object>
      </w:r>
      <w:r w:rsidRPr="00C256DF">
        <w:rPr>
          <w:rFonts w:ascii="Times New Roman" w:eastAsia="Calibri" w:hAnsi="Times New Roman" w:cs="Times New Roman"/>
          <w:sz w:val="20"/>
          <w:szCs w:val="20"/>
        </w:rPr>
        <w:t>is the subscript of each IEA member state time dimensions where</w:t>
      </w:r>
      <w:r w:rsidRPr="00C256DF">
        <w:rPr>
          <w:rFonts w:ascii="Times New Roman" w:eastAsia="Calibri" w:hAnsi="Times New Roman" w:cs="Times New Roman"/>
          <w:position w:val="-10"/>
          <w:sz w:val="20"/>
          <w:szCs w:val="20"/>
        </w:rPr>
        <w:object w:dxaOrig="2242" w:dyaOrig="328">
          <v:shape id="_x0000_i1036" type="#_x0000_t75" style="width:112.2pt;height:16.2pt" o:ole="">
            <v:imagedata r:id="rId30" o:title=""/>
          </v:shape>
          <o:OLEObject Type="Embed" ProgID="Equation.DSMT4" ShapeID="_x0000_i1036" DrawAspect="Content" ObjectID="_1597392118" r:id="rId31"/>
        </w:object>
      </w:r>
      <w:r w:rsidRPr="00C256DF">
        <w:rPr>
          <w:rFonts w:ascii="Times New Roman" w:eastAsia="Calibri" w:hAnsi="Times New Roman" w:cs="Times New Roman"/>
          <w:sz w:val="20"/>
          <w:szCs w:val="20"/>
        </w:rPr>
        <w:t xml:space="preserve">. </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b/>
        <w:t>More specifically, we</w:t>
      </w:r>
      <w:r w:rsidRPr="00C256DF">
        <w:rPr>
          <w:rFonts w:ascii="Times New Roman" w:eastAsia="Calibri" w:hAnsi="Times New Roman" w:cs="Times New Roman"/>
          <w:sz w:val="20"/>
          <w:szCs w:val="20"/>
        </w:rPr>
        <w:t xml:space="preserve"> explore the relationsh</w:t>
      </w:r>
      <w:r>
        <w:rPr>
          <w:rFonts w:ascii="Times New Roman" w:eastAsia="Calibri" w:hAnsi="Times New Roman" w:cs="Times New Roman"/>
          <w:sz w:val="20"/>
          <w:szCs w:val="20"/>
        </w:rPr>
        <w:t>ip between biomass energy production (TB</w:t>
      </w:r>
      <w:r w:rsidRPr="00C256DF">
        <w:rPr>
          <w:rFonts w:ascii="Times New Roman" w:eastAsia="Calibri" w:hAnsi="Times New Roman" w:cs="Times New Roman"/>
          <w:sz w:val="20"/>
          <w:szCs w:val="20"/>
        </w:rPr>
        <w:t xml:space="preserve">EP), energy imports (EI) and GDPC by employing Granger causality test based on panel vector error correction model (PVECM). For our stationarity </w:t>
      </w:r>
      <w:r w:rsidRPr="00C256DF">
        <w:rPr>
          <w:rFonts w:ascii="Times New Roman" w:eastAsia="Calibri" w:hAnsi="Times New Roman" w:cs="Times New Roman"/>
          <w:sz w:val="20"/>
          <w:szCs w:val="20"/>
        </w:rPr>
        <w:t>analysis, we first employ Im, Pesaran and Shin (IPS) test developed by Im et al. which allows for heterogeneous autoregressive coefficients. We formulate our mathematical model as:</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ab/>
      </w:r>
      <w:r w:rsidRPr="00C256DF">
        <w:rPr>
          <w:rFonts w:ascii="Times New Roman" w:eastAsia="Calibri" w:hAnsi="Times New Roman" w:cs="Times New Roman"/>
          <w:position w:val="-12"/>
          <w:sz w:val="20"/>
          <w:szCs w:val="20"/>
        </w:rPr>
        <w:object w:dxaOrig="2042" w:dyaOrig="365">
          <v:shape id="_x0000_i1037" type="#_x0000_t75" style="width:102pt;height:18pt" o:ole="">
            <v:imagedata r:id="rId32" o:title=""/>
          </v:shape>
          <o:OLEObject Type="Embed" ProgID="Equation.DSMT4" ShapeID="_x0000_i1037" DrawAspect="Content" ObjectID="_1597392119" r:id="rId33"/>
        </w:object>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t>(2)</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 xml:space="preserve">Where </w:t>
      </w:r>
      <w:r w:rsidRPr="00C256DF">
        <w:rPr>
          <w:rFonts w:ascii="Times New Roman" w:eastAsia="Calibri" w:hAnsi="Times New Roman" w:cs="Times New Roman"/>
          <w:position w:val="-12"/>
          <w:sz w:val="20"/>
          <w:szCs w:val="20"/>
        </w:rPr>
        <w:object w:dxaOrig="264" w:dyaOrig="365">
          <v:shape id="_x0000_i1038" type="#_x0000_t75" style="width:13.2pt;height:18pt" o:ole="">
            <v:imagedata r:id="rId34" o:title=""/>
          </v:shape>
          <o:OLEObject Type="Embed" ProgID="Equation.DSMT4" ShapeID="_x0000_i1038" DrawAspect="Content" ObjectID="_1597392120" r:id="rId35"/>
        </w:object>
      </w:r>
      <w:r w:rsidRPr="00C256DF">
        <w:rPr>
          <w:rFonts w:ascii="Times New Roman" w:eastAsia="Calibri" w:hAnsi="Times New Roman" w:cs="Times New Roman"/>
          <w:sz w:val="20"/>
          <w:szCs w:val="20"/>
        </w:rPr>
        <w:t>represents our predictor variables comprising individual time trend; autoregressive coefficients is represented by</w:t>
      </w:r>
      <w:r w:rsidRPr="00C256DF">
        <w:rPr>
          <w:rFonts w:ascii="Times New Roman" w:eastAsia="Calibri" w:hAnsi="Times New Roman" w:cs="Times New Roman"/>
          <w:position w:val="-12"/>
          <w:sz w:val="20"/>
          <w:szCs w:val="20"/>
        </w:rPr>
        <w:object w:dxaOrig="219" w:dyaOrig="365">
          <v:shape id="_x0000_i1039" type="#_x0000_t75" style="width:10.8pt;height:18pt" o:ole="">
            <v:imagedata r:id="rId36" o:title=""/>
          </v:shape>
          <o:OLEObject Type="Embed" ProgID="Equation.DSMT4" ShapeID="_x0000_i1039" DrawAspect="Content" ObjectID="_1597392121" r:id="rId37"/>
        </w:object>
      </w:r>
      <w:r w:rsidRPr="00C256DF">
        <w:rPr>
          <w:rFonts w:ascii="Times New Roman" w:eastAsia="Calibri" w:hAnsi="Times New Roman" w:cs="Times New Roman"/>
          <w:sz w:val="20"/>
          <w:szCs w:val="20"/>
        </w:rPr>
        <w:t xml:space="preserve">; and </w:t>
      </w:r>
      <w:r w:rsidRPr="00C256DF">
        <w:rPr>
          <w:rFonts w:ascii="Times New Roman" w:eastAsia="Calibri" w:hAnsi="Times New Roman" w:cs="Times New Roman"/>
          <w:position w:val="-12"/>
          <w:sz w:val="20"/>
          <w:szCs w:val="20"/>
        </w:rPr>
        <w:object w:dxaOrig="273" w:dyaOrig="365">
          <v:shape id="_x0000_i1040" type="#_x0000_t75" style="width:13.8pt;height:18pt" o:ole="">
            <v:imagedata r:id="rId38" o:title=""/>
          </v:shape>
          <o:OLEObject Type="Embed" ProgID="Equation.DSMT4" ShapeID="_x0000_i1040" DrawAspect="Content" ObjectID="_1597392122" r:id="rId39"/>
        </w:object>
      </w:r>
      <w:r w:rsidRPr="00C256DF">
        <w:rPr>
          <w:rFonts w:ascii="Times New Roman" w:eastAsia="Calibri" w:hAnsi="Times New Roman" w:cs="Times New Roman"/>
          <w:sz w:val="20"/>
          <w:szCs w:val="20"/>
        </w:rPr>
        <w:t>represent the stationary stochastic error terms. As the IPS ensures various orders of serial correlation by averaging the augmented Dickey-Fuller (ADF) unit root test, we formulate our stochastic stationary error term as:</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ab/>
      </w:r>
      <w:r w:rsidRPr="00C256DF">
        <w:rPr>
          <w:rFonts w:ascii="Times New Roman" w:eastAsia="Calibri" w:hAnsi="Times New Roman" w:cs="Times New Roman"/>
          <w:position w:val="-28"/>
          <w:sz w:val="20"/>
          <w:szCs w:val="20"/>
        </w:rPr>
        <w:object w:dxaOrig="1896" w:dyaOrig="684">
          <v:shape id="_x0000_i1041" type="#_x0000_t75" style="width:94.8pt;height:34.2pt" o:ole="">
            <v:imagedata r:id="rId40" o:title=""/>
          </v:shape>
          <o:OLEObject Type="Embed" ProgID="Equation.DSMT4" ShapeID="_x0000_i1041" DrawAspect="Content" ObjectID="_1597392123" r:id="rId41"/>
        </w:object>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t>(3)</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Therefore, by substituting (3) into (2), our mathematical formulation becomes:</w:t>
      </w:r>
    </w:p>
    <w:p w:rsidR="00E9202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ab/>
      </w:r>
      <w:r w:rsidRPr="00C256DF">
        <w:rPr>
          <w:rFonts w:ascii="Times New Roman" w:eastAsia="Calibri" w:hAnsi="Times New Roman" w:cs="Times New Roman"/>
          <w:position w:val="-28"/>
          <w:sz w:val="20"/>
          <w:szCs w:val="20"/>
        </w:rPr>
        <w:object w:dxaOrig="3181" w:dyaOrig="684">
          <v:shape id="_x0000_i1042" type="#_x0000_t75" style="width:159pt;height:34.2pt" o:ole="">
            <v:imagedata r:id="rId42" o:title=""/>
          </v:shape>
          <o:OLEObject Type="Embed" ProgID="Equation.DSMT4" ShapeID="_x0000_i1042" DrawAspect="Content" ObjectID="_1597392124" r:id="rId43"/>
        </w:object>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t>(4)</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Where the number of lags in ADF regression is represented by</w:t>
      </w:r>
      <w:r w:rsidRPr="00C256DF">
        <w:rPr>
          <w:rFonts w:ascii="Times New Roman" w:eastAsia="Calibri" w:hAnsi="Times New Roman" w:cs="Times New Roman"/>
          <w:position w:val="-12"/>
          <w:sz w:val="20"/>
          <w:szCs w:val="20"/>
        </w:rPr>
        <w:object w:dxaOrig="219" w:dyaOrig="365">
          <v:shape id="_x0000_i1043" type="#_x0000_t75" style="width:10.8pt;height:18pt" o:ole="">
            <v:imagedata r:id="rId44" o:title=""/>
          </v:shape>
          <o:OLEObject Type="Embed" ProgID="Equation.DSMT4" ShapeID="_x0000_i1043" DrawAspect="Content" ObjectID="_1597392125" r:id="rId45"/>
        </w:object>
      </w:r>
      <w:r w:rsidRPr="00C256DF">
        <w:rPr>
          <w:rFonts w:ascii="Times New Roman" w:eastAsia="Calibri" w:hAnsi="Times New Roman" w:cs="Times New Roman"/>
          <w:sz w:val="20"/>
          <w:szCs w:val="20"/>
        </w:rPr>
        <w:t>. We propose our null hypothesis to be a case where there exists a unit root in each series of our panel data sets whereas alternative hypothesis supposes that at least one individual series in the panel data is stationary. Besides Phillips-Perron (PP), Augmented Dickey-Fuller and Levin, Lin &amp; Chu (LLC) stationarity test are executed.</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ab/>
        <w:t xml:space="preserve">After our stationarity analysis, Pedroni heterogeneous </w:t>
      </w:r>
      <w:r>
        <w:rPr>
          <w:rFonts w:ascii="Times New Roman" w:eastAsia="Calibri" w:hAnsi="Times New Roman" w:cs="Times New Roman"/>
          <w:sz w:val="20"/>
          <w:szCs w:val="20"/>
        </w:rPr>
        <w:t>panel cointegration test is</w:t>
      </w:r>
      <w:r w:rsidRPr="00C256DF">
        <w:rPr>
          <w:rFonts w:ascii="Times New Roman" w:eastAsia="Calibri" w:hAnsi="Times New Roman" w:cs="Times New Roman"/>
          <w:sz w:val="20"/>
          <w:szCs w:val="20"/>
        </w:rPr>
        <w:t xml:space="preserve"> employed to check the cross-section interdependence with different individual effects between our variables under consideration. Our cointegration test becomes:</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ab/>
      </w:r>
      <w:r w:rsidRPr="00C256DF">
        <w:rPr>
          <w:rFonts w:ascii="Times New Roman" w:eastAsia="Calibri" w:hAnsi="Times New Roman" w:cs="Times New Roman"/>
          <w:position w:val="-12"/>
          <w:sz w:val="20"/>
          <w:szCs w:val="20"/>
        </w:rPr>
        <w:object w:dxaOrig="4040" w:dyaOrig="360">
          <v:shape id="_x0000_i1044" type="#_x0000_t75" style="width:201.6pt;height:18pt" o:ole="">
            <v:imagedata r:id="rId46" o:title=""/>
          </v:shape>
          <o:OLEObject Type="Embed" ProgID="Equation.DSMT4" ShapeID="_x0000_i1044" DrawAspect="Content" ObjectID="_1597392126" r:id="rId47"/>
        </w:object>
      </w:r>
      <w:r w:rsidRPr="00C256DF">
        <w:rPr>
          <w:rFonts w:ascii="Times New Roman" w:eastAsia="Calibri" w:hAnsi="Times New Roman" w:cs="Times New Roman"/>
          <w:sz w:val="20"/>
          <w:szCs w:val="20"/>
        </w:rPr>
        <w:t xml:space="preserve"> </w:t>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r>
      <w:r w:rsidRPr="00C256DF">
        <w:rPr>
          <w:rFonts w:ascii="Times New Roman" w:eastAsia="Calibri" w:hAnsi="Times New Roman" w:cs="Times New Roman"/>
          <w:sz w:val="20"/>
          <w:szCs w:val="20"/>
        </w:rPr>
        <w:tab/>
        <w:t>(5)</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 xml:space="preserve">Where </w:t>
      </w:r>
      <w:r w:rsidRPr="00C256DF">
        <w:rPr>
          <w:rFonts w:ascii="Times New Roman" w:eastAsia="Calibri" w:hAnsi="Times New Roman" w:cs="Times New Roman"/>
          <w:position w:val="-12"/>
          <w:sz w:val="20"/>
          <w:szCs w:val="20"/>
        </w:rPr>
        <w:object w:dxaOrig="264" w:dyaOrig="365">
          <v:shape id="_x0000_i1045" type="#_x0000_t75" style="width:13.2pt;height:18pt" o:ole="">
            <v:imagedata r:id="rId48" o:title=""/>
          </v:shape>
          <o:OLEObject Type="Embed" ProgID="Equation.DSMT4" ShapeID="_x0000_i1045" DrawAspect="Content" ObjectID="_1597392127" r:id="rId49"/>
        </w:object>
      </w:r>
      <w:r w:rsidRPr="00C256DF">
        <w:rPr>
          <w:rFonts w:ascii="Times New Roman" w:eastAsia="Calibri" w:hAnsi="Times New Roman" w:cs="Times New Roman"/>
          <w:sz w:val="20"/>
          <w:szCs w:val="20"/>
        </w:rPr>
        <w:t xml:space="preserve">and </w:t>
      </w:r>
      <w:r w:rsidRPr="00C256DF">
        <w:rPr>
          <w:rFonts w:ascii="Times New Roman" w:eastAsia="Calibri" w:hAnsi="Times New Roman" w:cs="Times New Roman"/>
          <w:position w:val="-12"/>
          <w:sz w:val="20"/>
          <w:szCs w:val="20"/>
        </w:rPr>
        <w:object w:dxaOrig="237" w:dyaOrig="365">
          <v:shape id="_x0000_i1046" type="#_x0000_t75" style="width:12pt;height:18pt" o:ole="">
            <v:imagedata r:id="rId50" o:title=""/>
          </v:shape>
          <o:OLEObject Type="Embed" ProgID="Equation.DSMT4" ShapeID="_x0000_i1046" DrawAspect="Content" ObjectID="_1597392128" r:id="rId51"/>
        </w:object>
      </w:r>
      <w:r w:rsidRPr="00C256DF">
        <w:rPr>
          <w:rFonts w:ascii="Times New Roman" w:eastAsia="Calibri" w:hAnsi="Times New Roman" w:cs="Times New Roman"/>
          <w:sz w:val="20"/>
          <w:szCs w:val="20"/>
        </w:rPr>
        <w:t xml:space="preserve">represents each country deterministic trends; </w:t>
      </w:r>
      <w:r w:rsidRPr="00C256DF">
        <w:rPr>
          <w:rFonts w:ascii="Times New Roman" w:eastAsia="Calibri" w:hAnsi="Times New Roman" w:cs="Times New Roman"/>
          <w:position w:val="-12"/>
          <w:sz w:val="20"/>
          <w:szCs w:val="20"/>
        </w:rPr>
        <w:object w:dxaOrig="273" w:dyaOrig="365">
          <v:shape id="_x0000_i1047" type="#_x0000_t75" style="width:13.8pt;height:18pt" o:ole="">
            <v:imagedata r:id="rId52" o:title=""/>
          </v:shape>
          <o:OLEObject Type="Embed" ProgID="Equation.DSMT4" ShapeID="_x0000_i1047" DrawAspect="Content" ObjectID="_1597392129" r:id="rId53"/>
        </w:object>
      </w:r>
      <w:r w:rsidRPr="00C256DF">
        <w:rPr>
          <w:rFonts w:ascii="Times New Roman" w:eastAsia="Calibri" w:hAnsi="Times New Roman" w:cs="Times New Roman"/>
          <w:sz w:val="20"/>
          <w:szCs w:val="20"/>
        </w:rPr>
        <w:t xml:space="preserve">represents the residuals as a result of deviations from the long-run relationships. We propose our null hypothesis as there is no cointegration between our variables under study. </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b/>
        <w:t xml:space="preserve"> W</w:t>
      </w:r>
      <w:r w:rsidRPr="00C256DF">
        <w:rPr>
          <w:rFonts w:ascii="Times New Roman" w:eastAsia="Calibri" w:hAnsi="Times New Roman" w:cs="Times New Roman"/>
          <w:sz w:val="20"/>
          <w:szCs w:val="20"/>
        </w:rPr>
        <w:t xml:space="preserve">e perform the fully modified Ordinary Least Squares (FMOLS) and dynamic OLS (DOLS) by estimating PVECM in </w:t>
      </w:r>
      <w:r w:rsidRPr="00C256DF">
        <w:rPr>
          <w:rFonts w:ascii="Times New Roman" w:eastAsia="Calibri" w:hAnsi="Times New Roman" w:cs="Times New Roman"/>
          <w:sz w:val="20"/>
          <w:szCs w:val="20"/>
        </w:rPr>
        <w:lastRenderedPageBreak/>
        <w:t>order to perform the Granger-causality analysis. We present our dynamic error correction model as:</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E9202F">
        <w:rPr>
          <w:rFonts w:ascii="Times New Roman" w:eastAsia="Calibri" w:hAnsi="Times New Roman" w:cs="Times New Roman"/>
          <w:position w:val="-62"/>
          <w:sz w:val="20"/>
          <w:szCs w:val="20"/>
        </w:rPr>
        <w:object w:dxaOrig="5440" w:dyaOrig="1359">
          <v:shape id="_x0000_i1051" type="#_x0000_t75" style="width:237.6pt;height:68.4pt" o:ole="">
            <v:imagedata r:id="rId54" o:title=""/>
          </v:shape>
          <o:OLEObject Type="Embed" ProgID="Equation.DSMT4" ShapeID="_x0000_i1051" DrawAspect="Content" ObjectID="_1597392130" r:id="rId55"/>
        </w:object>
      </w:r>
      <w:r w:rsidRPr="00C256DF">
        <w:rPr>
          <w:rFonts w:ascii="Times New Roman" w:eastAsia="Calibri" w:hAnsi="Times New Roman" w:cs="Times New Roman"/>
          <w:sz w:val="20"/>
          <w:szCs w:val="20"/>
        </w:rPr>
        <w:tab/>
        <w:t>(6)</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E9202F">
        <w:rPr>
          <w:rFonts w:ascii="Times New Roman" w:eastAsia="Calibri" w:hAnsi="Times New Roman" w:cs="Times New Roman"/>
          <w:position w:val="-62"/>
          <w:sz w:val="20"/>
          <w:szCs w:val="20"/>
        </w:rPr>
        <w:object w:dxaOrig="5380" w:dyaOrig="1359">
          <v:shape id="_x0000_i1052" type="#_x0000_t75" style="width:268.8pt;height:68.4pt" o:ole="">
            <v:imagedata r:id="rId56" o:title=""/>
          </v:shape>
          <o:OLEObject Type="Embed" ProgID="Equation.DSMT4" ShapeID="_x0000_i1052" DrawAspect="Content" ObjectID="_1597392131" r:id="rId57"/>
        </w:object>
      </w:r>
      <w:r w:rsidRPr="00C256DF">
        <w:rPr>
          <w:rFonts w:ascii="Times New Roman" w:eastAsia="Calibri" w:hAnsi="Times New Roman" w:cs="Times New Roman"/>
          <w:sz w:val="20"/>
          <w:szCs w:val="20"/>
        </w:rPr>
        <w:tab/>
        <w:t>(7)</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E9202F">
        <w:rPr>
          <w:rFonts w:ascii="Times New Roman" w:eastAsia="Calibri" w:hAnsi="Times New Roman" w:cs="Times New Roman"/>
          <w:position w:val="-62"/>
          <w:sz w:val="20"/>
          <w:szCs w:val="20"/>
        </w:rPr>
        <w:object w:dxaOrig="5060" w:dyaOrig="1359">
          <v:shape id="_x0000_i1053" type="#_x0000_t75" style="width:253.2pt;height:68.4pt" o:ole="">
            <v:imagedata r:id="rId58" o:title=""/>
          </v:shape>
          <o:OLEObject Type="Embed" ProgID="Equation.DSMT4" ShapeID="_x0000_i1053" DrawAspect="Content" ObjectID="_1597392132" r:id="rId59"/>
        </w:object>
      </w:r>
      <w:r>
        <w:rPr>
          <w:rFonts w:ascii="Times New Roman" w:eastAsia="Calibri" w:hAnsi="Times New Roman" w:cs="Times New Roman"/>
          <w:sz w:val="20"/>
          <w:szCs w:val="20"/>
        </w:rPr>
        <w:tab/>
      </w:r>
      <w:r w:rsidRPr="00C256DF">
        <w:rPr>
          <w:rFonts w:ascii="Times New Roman" w:eastAsia="Calibri" w:hAnsi="Times New Roman" w:cs="Times New Roman"/>
          <w:sz w:val="20"/>
          <w:szCs w:val="20"/>
        </w:rPr>
        <w:t>(8)</w:t>
      </w:r>
    </w:p>
    <w:p w:rsidR="00E9202F" w:rsidRPr="00C256DF" w:rsidRDefault="00E9202F" w:rsidP="00E9202F">
      <w:pPr>
        <w:widowControl/>
        <w:spacing w:after="160" w:line="259" w:lineRule="auto"/>
        <w:jc w:val="both"/>
        <w:rPr>
          <w:rFonts w:ascii="Times New Roman" w:eastAsia="Calibri" w:hAnsi="Times New Roman" w:cs="Times New Roman"/>
          <w:sz w:val="20"/>
          <w:szCs w:val="20"/>
        </w:rPr>
      </w:pPr>
      <w:r w:rsidRPr="00C256DF">
        <w:rPr>
          <w:rFonts w:ascii="Times New Roman" w:eastAsia="Calibri" w:hAnsi="Times New Roman" w:cs="Times New Roman"/>
          <w:sz w:val="20"/>
          <w:szCs w:val="20"/>
        </w:rPr>
        <w:t xml:space="preserve">Where </w:t>
      </w:r>
      <w:r w:rsidRPr="00C256DF">
        <w:rPr>
          <w:rFonts w:ascii="Times New Roman" w:eastAsia="Calibri" w:hAnsi="Times New Roman" w:cs="Times New Roman"/>
          <w:position w:val="-4"/>
          <w:sz w:val="20"/>
          <w:szCs w:val="20"/>
        </w:rPr>
        <w:object w:dxaOrig="219" w:dyaOrig="255">
          <v:shape id="_x0000_i1048" type="#_x0000_t75" style="width:10.8pt;height:12.6pt" o:ole="">
            <v:imagedata r:id="rId60" o:title=""/>
          </v:shape>
          <o:OLEObject Type="Embed" ProgID="Equation.DSMT4" ShapeID="_x0000_i1048" DrawAspect="Content" ObjectID="_1597392133" r:id="rId61"/>
        </w:object>
      </w:r>
      <w:r w:rsidRPr="00C256DF">
        <w:rPr>
          <w:rFonts w:ascii="Times New Roman" w:eastAsia="Calibri" w:hAnsi="Times New Roman" w:cs="Times New Roman"/>
          <w:sz w:val="20"/>
          <w:szCs w:val="20"/>
        </w:rPr>
        <w:t xml:space="preserve">and </w:t>
      </w:r>
      <w:r w:rsidRPr="00C256DF">
        <w:rPr>
          <w:rFonts w:ascii="Times New Roman" w:eastAsia="Calibri" w:hAnsi="Times New Roman" w:cs="Times New Roman"/>
          <w:position w:val="-4"/>
          <w:sz w:val="20"/>
          <w:szCs w:val="20"/>
        </w:rPr>
        <w:object w:dxaOrig="182" w:dyaOrig="191">
          <v:shape id="_x0000_i1049" type="#_x0000_t75" style="width:9pt;height:9.6pt" o:ole="">
            <v:imagedata r:id="rId62" o:title=""/>
          </v:shape>
          <o:OLEObject Type="Embed" ProgID="Equation.DSMT4" ShapeID="_x0000_i1049" DrawAspect="Content" ObjectID="_1597392134" r:id="rId63"/>
        </w:object>
      </w:r>
      <w:r w:rsidRPr="00C256DF">
        <w:rPr>
          <w:rFonts w:ascii="Times New Roman" w:eastAsia="Calibri" w:hAnsi="Times New Roman" w:cs="Times New Roman"/>
          <w:sz w:val="20"/>
          <w:szCs w:val="20"/>
        </w:rPr>
        <w:t>represents the first difference and the lag length according to likelihood ratio test whereas</w:t>
      </w:r>
      <w:r w:rsidRPr="00C256DF">
        <w:rPr>
          <w:rFonts w:ascii="Times New Roman" w:eastAsia="Calibri" w:hAnsi="Times New Roman" w:cs="Times New Roman"/>
          <w:position w:val="-10"/>
          <w:sz w:val="20"/>
          <w:szCs w:val="20"/>
        </w:rPr>
        <w:object w:dxaOrig="237" w:dyaOrig="255">
          <v:shape id="_x0000_i1050" type="#_x0000_t75" style="width:12pt;height:12.6pt" o:ole="">
            <v:imagedata r:id="rId64" o:title=""/>
          </v:shape>
          <o:OLEObject Type="Embed" ProgID="Equation.DSMT4" ShapeID="_x0000_i1050" DrawAspect="Content" ObjectID="_1597392135" r:id="rId65"/>
        </w:object>
      </w:r>
      <w:r w:rsidRPr="00C256DF">
        <w:rPr>
          <w:rFonts w:ascii="Times New Roman" w:eastAsia="Calibri" w:hAnsi="Times New Roman" w:cs="Times New Roman"/>
          <w:sz w:val="20"/>
          <w:szCs w:val="20"/>
        </w:rPr>
        <w:t xml:space="preserve"> denotes the serially uncorrelated error term.</w:t>
      </w:r>
    </w:p>
    <w:p w:rsidR="00AE3E37" w:rsidRDefault="00A9710C" w:rsidP="00E9202F">
      <w:pPr>
        <w:pStyle w:val="Heading3"/>
        <w:spacing w:before="74"/>
        <w:ind w:left="0"/>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9202F" w:rsidP="00E9202F">
      <w:pPr>
        <w:pStyle w:val="ListParagraph"/>
        <w:numPr>
          <w:ilvl w:val="0"/>
          <w:numId w:val="3"/>
        </w:numPr>
        <w:tabs>
          <w:tab w:val="left" w:pos="384"/>
        </w:tabs>
        <w:spacing w:before="240" w:line="216" w:lineRule="exact"/>
        <w:ind w:right="138"/>
        <w:rPr>
          <w:sz w:val="18"/>
        </w:rPr>
      </w:pPr>
      <w:r w:rsidRPr="00E9202F">
        <w:rPr>
          <w:sz w:val="18"/>
        </w:rPr>
        <w:t>Ameyaw, B.; Yao, L. Analyzing the Impact of GDP on CO2 Emissions and Forecasting Africa’s Total CO2 Emissions with Non-Assumption Driven Bidirectional Long Short-Term Memory</w:t>
      </w:r>
      <w:r>
        <w:rPr>
          <w:sz w:val="18"/>
        </w:rPr>
        <w:t>. Sustainability 2018, 10, 3110</w:t>
      </w:r>
      <w:r w:rsidR="005973B9" w:rsidRPr="005973B9">
        <w:rPr>
          <w:sz w:val="18"/>
        </w:rPr>
        <w:t>.</w:t>
      </w:r>
      <w:r>
        <w:rPr>
          <w:sz w:val="18"/>
        </w:rPr>
        <w:t xml:space="preserve"> (SSCI).</w:t>
      </w:r>
    </w:p>
    <w:p w:rsidR="00E9202F" w:rsidRPr="00E9202F" w:rsidRDefault="00E9202F" w:rsidP="00E9202F">
      <w:pPr>
        <w:pStyle w:val="ListParagraph"/>
        <w:numPr>
          <w:ilvl w:val="0"/>
          <w:numId w:val="3"/>
        </w:numPr>
        <w:tabs>
          <w:tab w:val="left" w:pos="384"/>
        </w:tabs>
        <w:spacing w:line="216" w:lineRule="exact"/>
        <w:ind w:right="137"/>
        <w:rPr>
          <w:sz w:val="18"/>
        </w:rPr>
      </w:pPr>
      <w:r w:rsidRPr="00E9202F">
        <w:rPr>
          <w:sz w:val="18"/>
        </w:rPr>
        <w:t>Ameyaw, B.; Yao, L. Sectoral Energy Demand Forecasting under an Assumption-Free Data-Driven Technique. Sustainability 2018, 10, 2348</w:t>
      </w:r>
      <w:r>
        <w:rPr>
          <w:sz w:val="18"/>
        </w:rPr>
        <w:t>. (SCSCI).</w:t>
      </w:r>
    </w:p>
    <w:p w:rsidR="00E9202F" w:rsidRPr="00E9202F" w:rsidRDefault="00E9202F" w:rsidP="00E9202F">
      <w:pPr>
        <w:pStyle w:val="ListParagraph"/>
        <w:numPr>
          <w:ilvl w:val="0"/>
          <w:numId w:val="3"/>
        </w:numPr>
        <w:tabs>
          <w:tab w:val="left" w:pos="384"/>
        </w:tabs>
        <w:spacing w:line="216" w:lineRule="exact"/>
        <w:ind w:right="137"/>
        <w:rPr>
          <w:sz w:val="18"/>
        </w:rPr>
      </w:pPr>
      <w:r w:rsidRPr="00E9202F">
        <w:rPr>
          <w:sz w:val="18"/>
        </w:rPr>
        <w:t>Ameyaw, B. , Oppong, A. , Abruquah, L. and Ashalley, E. (2017) Causality Nexus of Electricity Consumption and Economic Growth: An Empirical Evidence from Ghana. Open Journal of Business and Management, 5, 1-10. doi: 10.4236/ojbm.2017.51001.</w:t>
      </w:r>
    </w:p>
    <w:p w:rsidR="00E9202F" w:rsidRPr="00E9202F" w:rsidRDefault="00E9202F" w:rsidP="00E9202F">
      <w:pPr>
        <w:pStyle w:val="ListParagraph"/>
        <w:numPr>
          <w:ilvl w:val="0"/>
          <w:numId w:val="3"/>
        </w:numPr>
        <w:tabs>
          <w:tab w:val="left" w:pos="384"/>
        </w:tabs>
        <w:spacing w:line="216" w:lineRule="exact"/>
        <w:ind w:right="137"/>
        <w:rPr>
          <w:sz w:val="18"/>
        </w:rPr>
      </w:pPr>
      <w:r w:rsidRPr="00E9202F">
        <w:rPr>
          <w:sz w:val="18"/>
        </w:rPr>
        <w:t>Ameyaw, B. , Oppong, A. , Aba Abruquah, L. and Ashalley, E. (2016) Informal Sector Tax Compliance Issues and the Causality Nexus between Taxation and Economic Growth: Empirical Evidence from Ghana. Modern Economy, 7, 1478-1497. doi: 10.4236/me.2016.712134.</w:t>
      </w:r>
    </w:p>
    <w:p w:rsidR="005973B9" w:rsidRPr="00E9202F" w:rsidRDefault="00E9202F" w:rsidP="00E9202F">
      <w:pPr>
        <w:pStyle w:val="ListParagraph"/>
        <w:numPr>
          <w:ilvl w:val="0"/>
          <w:numId w:val="3"/>
        </w:numPr>
        <w:tabs>
          <w:tab w:val="left" w:pos="384"/>
        </w:tabs>
        <w:spacing w:line="216" w:lineRule="exact"/>
        <w:ind w:right="137"/>
        <w:rPr>
          <w:sz w:val="18"/>
        </w:rPr>
      </w:pPr>
      <w:r w:rsidRPr="00E9202F">
        <w:rPr>
          <w:sz w:val="18"/>
        </w:rPr>
        <w:t>Ameyaw, B. and Dzaka, D. (2016) Determinants of Tax Evasion: Empirical Evidence from Ghana. Modern Economy, 7, 1653-1664. doi: 10.4236/me.2016.714145.</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7755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667923" w:rsidRDefault="008756E6" w:rsidP="00404E5B">
      <w:pPr>
        <w:spacing w:before="92"/>
        <w:ind w:right="4234"/>
        <w:rPr>
          <w:noProof/>
        </w:rPr>
      </w:pPr>
      <w:bookmarkStart w:id="0" w:name="_GoBack"/>
      <w:bookmarkEnd w:id="0"/>
      <w:r>
        <w:rPr>
          <w:noProof/>
        </w:rPr>
        <w:t xml:space="preserve">       </w:t>
      </w:r>
      <w:r w:rsidR="00E9202F" w:rsidRPr="005C420B">
        <w:rPr>
          <w:noProof/>
        </w:rPr>
        <w:drawing>
          <wp:inline distT="0" distB="0" distL="0" distR="0" wp14:anchorId="7CC140DE" wp14:editId="1CE28993">
            <wp:extent cx="914400" cy="929640"/>
            <wp:effectExtent l="0" t="0" r="0" b="3810"/>
            <wp:docPr id="3" name="Picture 3" descr="C:\Users\Bis\Desktop\bft\bft13\bismark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Bis\Desktop\bft\bft13\bismark picture.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14400" cy="929640"/>
                    </a:xfrm>
                    <a:prstGeom prst="rect">
                      <a:avLst/>
                    </a:prstGeom>
                    <a:noFill/>
                    <a:ln>
                      <a:noFill/>
                    </a:ln>
                  </pic:spPr>
                </pic:pic>
              </a:graphicData>
            </a:graphic>
          </wp:inline>
        </w:drawing>
      </w:r>
      <w:r>
        <w:rPr>
          <w:noProof/>
        </w:rPr>
        <w:t xml:space="preserve">      </w:t>
      </w:r>
    </w:p>
    <w:p w:rsidR="00667923" w:rsidRPr="005C420B" w:rsidRDefault="00667923" w:rsidP="00667923">
      <w:pPr>
        <w:spacing w:before="41" w:line="154" w:lineRule="exact"/>
        <w:ind w:right="231"/>
        <w:jc w:val="both"/>
        <w:rPr>
          <w:rFonts w:ascii="Arial"/>
          <w:i/>
          <w:sz w:val="14"/>
        </w:rPr>
      </w:pPr>
      <w:r w:rsidRPr="005C420B">
        <w:rPr>
          <w:rFonts w:ascii="Arial"/>
          <w:b/>
          <w:bCs/>
          <w:i/>
          <w:sz w:val="14"/>
        </w:rPr>
        <w:t xml:space="preserve">BISMARK AMEYAW </w:t>
      </w:r>
      <w:r w:rsidRPr="005C420B">
        <w:rPr>
          <w:rFonts w:ascii="Arial"/>
          <w:i/>
          <w:sz w:val="14"/>
        </w:rPr>
        <w:t xml:space="preserve">is a </w:t>
      </w:r>
      <w:r>
        <w:rPr>
          <w:rFonts w:ascii="Arial"/>
          <w:i/>
          <w:sz w:val="14"/>
        </w:rPr>
        <w:t xml:space="preserve">doctoral </w:t>
      </w:r>
      <w:r w:rsidRPr="005C420B">
        <w:rPr>
          <w:rFonts w:ascii="Arial"/>
          <w:i/>
          <w:sz w:val="14"/>
        </w:rPr>
        <w:t xml:space="preserve">researcher </w:t>
      </w:r>
      <w:r w:rsidRPr="005C420B">
        <w:rPr>
          <w:rFonts w:ascii="Arial"/>
          <w:i/>
          <w:sz w:val="14"/>
          <w:lang w:val="en-GB"/>
        </w:rPr>
        <w:t xml:space="preserve">at University of Electronic Science and Technology of China and a referee to a number of prestigious peer-review journals. </w:t>
      </w:r>
      <w:r w:rsidRPr="005C420B">
        <w:rPr>
          <w:rFonts w:ascii="Arial"/>
          <w:i/>
          <w:sz w:val="14"/>
        </w:rPr>
        <w:t xml:space="preserve">He specializes in modelling and forecasting the dynamic links in energy policies and the economy. He </w:t>
      </w:r>
      <w:r>
        <w:rPr>
          <w:rFonts w:ascii="Arial"/>
          <w:i/>
          <w:sz w:val="14"/>
        </w:rPr>
        <w:t xml:space="preserve">writes, teaches and consult on energy-related </w:t>
      </w:r>
      <w:r w:rsidRPr="005C420B">
        <w:rPr>
          <w:rFonts w:ascii="Arial"/>
          <w:i/>
          <w:sz w:val="14"/>
        </w:rPr>
        <w:t>issues. He serves as an editorial board member and a reviewer for a number of prestigious international journal</w:t>
      </w:r>
      <w:r>
        <w:rPr>
          <w:rFonts w:ascii="Arial"/>
          <w:i/>
          <w:sz w:val="14"/>
        </w:rPr>
        <w:t xml:space="preserve">s. </w:t>
      </w:r>
    </w:p>
    <w:p w:rsidR="00667923" w:rsidRPr="00BF1DB1" w:rsidRDefault="00667923" w:rsidP="00667923">
      <w:pPr>
        <w:spacing w:before="62"/>
        <w:ind w:left="4217" w:right="4235"/>
        <w:jc w:val="center"/>
        <w:rPr>
          <w:rFonts w:ascii="Arial"/>
          <w:sz w:val="14"/>
        </w:rPr>
        <w:sectPr w:rsidR="00667923" w:rsidRPr="00BF1DB1" w:rsidSect="007D3A55">
          <w:type w:val="continuous"/>
          <w:pgSz w:w="11910" w:h="16840"/>
          <w:pgMar w:top="1740" w:right="600" w:bottom="840" w:left="620" w:header="720" w:footer="720" w:gutter="0"/>
          <w:cols w:space="720"/>
        </w:sectPr>
      </w:pPr>
      <w:r>
        <w:rPr>
          <w:rFonts w:ascii="Arial"/>
          <w:sz w:val="14"/>
        </w:rPr>
        <w:t xml:space="preserve">Email: </w:t>
      </w:r>
      <w:r w:rsidRPr="005C420B">
        <w:rPr>
          <w:rFonts w:ascii="Arial"/>
          <w:sz w:val="14"/>
        </w:rPr>
        <w:t>201714110101@std.uestc.edu.cn; kofiameyaw</w:t>
      </w:r>
      <w:r>
        <w:rPr>
          <w:rFonts w:ascii="Arial"/>
          <w:sz w:val="14"/>
        </w:rPr>
        <w:t>9@hotmail.com; 3101153683@qq.co</w:t>
      </w:r>
      <w:r>
        <w:rPr>
          <w:noProof/>
        </w:rPr>
        <mc:AlternateContent>
          <mc:Choice Requires="wps">
            <w:drawing>
              <wp:anchor distT="0" distB="0" distL="0" distR="0" simplePos="0" relativeHeight="251659776" behindDoc="0" locked="0" layoutInCell="1" allowOverlap="1" wp14:anchorId="1FDC7AC3" wp14:editId="685E5E28">
                <wp:simplePos x="0" y="0"/>
                <wp:positionH relativeFrom="page">
                  <wp:posOffset>2058670</wp:posOffset>
                </wp:positionH>
                <wp:positionV relativeFrom="paragraph">
                  <wp:posOffset>168275</wp:posOffset>
                </wp:positionV>
                <wp:extent cx="3442335" cy="0"/>
                <wp:effectExtent l="10795" t="6985" r="13970" b="12065"/>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A0EFB"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zrO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bjA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H2n&#10;Os4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Pr>
          <w:rFonts w:ascii="Arial"/>
          <w:sz w:val="14"/>
        </w:rPr>
        <w:t>m</w:t>
      </w:r>
    </w:p>
    <w:p w:rsidR="00AE3E37" w:rsidRDefault="00AE3E37">
      <w:pPr>
        <w:pStyle w:val="BodyText"/>
        <w:rPr>
          <w:rFonts w:ascii="Arial"/>
          <w:sz w:val="20"/>
        </w:rPr>
      </w:pPr>
    </w:p>
    <w:p w:rsidR="00AE3E37" w:rsidRDefault="00AE3E37">
      <w:pPr>
        <w:pStyle w:val="BodyText"/>
        <w:spacing w:before="7"/>
        <w:rPr>
          <w:rFonts w:ascii="Arial"/>
          <w:sz w:val="29"/>
        </w:rPr>
      </w:pPr>
    </w:p>
    <w:p w:rsidR="00667923" w:rsidRPr="0013708E" w:rsidRDefault="00667923" w:rsidP="00667923">
      <w:pPr>
        <w:jc w:val="both"/>
        <w:rPr>
          <w:b/>
        </w:rPr>
      </w:pPr>
      <w:r w:rsidRPr="0013708E">
        <w:rPr>
          <w:b/>
        </w:rPr>
        <w:t xml:space="preserve">Presenting author details </w:t>
      </w:r>
    </w:p>
    <w:p w:rsidR="00667923" w:rsidRPr="0013708E" w:rsidRDefault="00667923" w:rsidP="00667923">
      <w:pPr>
        <w:jc w:val="both"/>
      </w:pPr>
      <w:r w:rsidRPr="0013708E">
        <w:t xml:space="preserve">Full name: </w:t>
      </w:r>
      <w:r>
        <w:t>Bismark Ameyaw</w:t>
      </w:r>
    </w:p>
    <w:p w:rsidR="00667923" w:rsidRDefault="00667923" w:rsidP="00667923">
      <w:pPr>
        <w:jc w:val="both"/>
      </w:pPr>
      <w:r w:rsidRPr="0013708E">
        <w:t>Contact number:</w:t>
      </w:r>
      <w:r>
        <w:t xml:space="preserve"> 008613693498270</w:t>
      </w:r>
    </w:p>
    <w:p w:rsidR="00667923" w:rsidRPr="0013708E" w:rsidRDefault="00667923" w:rsidP="00667923">
      <w:pPr>
        <w:jc w:val="both"/>
      </w:pPr>
      <w:r>
        <w:t xml:space="preserve">Mail id: </w:t>
      </w:r>
      <w:r>
        <w:t>3101153683@qq.com</w:t>
      </w:r>
    </w:p>
    <w:p w:rsidR="00667923" w:rsidRPr="00667923" w:rsidRDefault="00667923" w:rsidP="00667923">
      <w:pPr>
        <w:spacing w:before="240"/>
        <w:ind w:left="100"/>
        <w:rPr>
          <w:rFonts w:ascii="Minion Pro"/>
          <w:b/>
          <w:sz w:val="20"/>
        </w:rPr>
        <w:sectPr w:rsidR="00667923" w:rsidRPr="00667923" w:rsidSect="008E5477">
          <w:type w:val="continuous"/>
          <w:pgSz w:w="11910" w:h="16840"/>
          <w:pgMar w:top="995" w:right="600" w:bottom="840" w:left="620" w:header="720" w:footer="720" w:gutter="0"/>
          <w:cols w:space="720"/>
        </w:sectPr>
      </w:pPr>
      <w:r>
        <w:t xml:space="preserve">Category: </w:t>
      </w:r>
      <w:r w:rsidRPr="0013708E">
        <w:t>Oral p</w:t>
      </w:r>
      <w:r>
        <w:t>resentation</w:t>
      </w:r>
    </w:p>
    <w:p w:rsidR="00AE3E37" w:rsidRPr="00667923" w:rsidRDefault="00AE3E37" w:rsidP="00667923">
      <w:pPr>
        <w:tabs>
          <w:tab w:val="left" w:pos="2100"/>
        </w:tabs>
      </w:pPr>
    </w:p>
    <w:sectPr w:rsidR="00AE3E37" w:rsidRPr="00667923"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BDC" w:rsidRDefault="00A27BDC">
      <w:r>
        <w:separator/>
      </w:r>
    </w:p>
  </w:endnote>
  <w:endnote w:type="continuationSeparator" w:id="0">
    <w:p w:rsidR="00A27BDC" w:rsidRDefault="00A27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BDC" w:rsidRDefault="00A27BDC">
      <w:r>
        <w:separator/>
      </w:r>
    </w:p>
  </w:footnote>
  <w:footnote w:type="continuationSeparator" w:id="0">
    <w:p w:rsidR="00A27BDC" w:rsidRDefault="00A27B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49"/>
    <w:rsid w:val="000E2911"/>
    <w:rsid w:val="001263DF"/>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667923"/>
    <w:rsid w:val="00714354"/>
    <w:rsid w:val="00873DF0"/>
    <w:rsid w:val="008756E6"/>
    <w:rsid w:val="00897EC5"/>
    <w:rsid w:val="008E5477"/>
    <w:rsid w:val="009B2D44"/>
    <w:rsid w:val="00A07E82"/>
    <w:rsid w:val="00A27BDC"/>
    <w:rsid w:val="00A52075"/>
    <w:rsid w:val="00A65E95"/>
    <w:rsid w:val="00A9710C"/>
    <w:rsid w:val="00AE3E37"/>
    <w:rsid w:val="00B21A57"/>
    <w:rsid w:val="00C33602"/>
    <w:rsid w:val="00C56C74"/>
    <w:rsid w:val="00CD6F55"/>
    <w:rsid w:val="00DE3104"/>
    <w:rsid w:val="00DE6170"/>
    <w:rsid w:val="00E30AAC"/>
    <w:rsid w:val="00E9202F"/>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2D8FA6-CC28-425D-AE80-A5D03D1B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0.bin"/><Relationship Id="rId50" Type="http://schemas.openxmlformats.org/officeDocument/2006/relationships/image" Target="media/image22.wmf"/><Relationship Id="rId55" Type="http://schemas.openxmlformats.org/officeDocument/2006/relationships/oleObject" Target="embeddings/oleObject24.bin"/><Relationship Id="rId63" Type="http://schemas.openxmlformats.org/officeDocument/2006/relationships/oleObject" Target="embeddings/oleObject28.bin"/><Relationship Id="rId68"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6.wmf"/><Relationship Id="rId66" Type="http://schemas.openxmlformats.org/officeDocument/2006/relationships/image" Target="media/image30.jpeg"/><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61" Type="http://schemas.openxmlformats.org/officeDocument/2006/relationships/oleObject" Target="embeddings/oleObject27.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8" Type="http://schemas.openxmlformats.org/officeDocument/2006/relationships/image" Target="media/image1.wmf"/><Relationship Id="rId51" Type="http://schemas.openxmlformats.org/officeDocument/2006/relationships/oleObject" Target="embeddings/oleObject22.bin"/><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oleObject" Target="embeddings/oleObject26.bin"/><Relationship Id="rId67"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Notification Team</cp:lastModifiedBy>
  <cp:revision>3</cp:revision>
  <dcterms:created xsi:type="dcterms:W3CDTF">2017-10-16T06:14:00Z</dcterms:created>
  <dcterms:modified xsi:type="dcterms:W3CDTF">2018-09-02T17:15:00Z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