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2F1" w:rsidRDefault="007E4A54" w:rsidP="006802F1">
      <w:pPr>
        <w:jc w:val="both"/>
        <w:rPr>
          <w:rFonts w:ascii="Bookman Old Style" w:hAnsi="Bookman Old Style"/>
          <w:i/>
          <w:color w:val="000000"/>
        </w:rPr>
      </w:pPr>
      <w:r w:rsidRPr="007E4A54">
        <w:rPr>
          <w:rFonts w:ascii="GulliverRM" w:hAnsi="GulliverRM"/>
          <w:color w:val="242021"/>
          <w:sz w:val="20"/>
          <w:szCs w:val="20"/>
        </w:rPr>
        <w:br/>
      </w:r>
      <w:r w:rsidRPr="007E4A54">
        <w:rPr>
          <w:rFonts w:ascii="Bookman Old Style" w:hAnsi="Bookman Old Style"/>
          <w:b/>
          <w:color w:val="000000"/>
        </w:rPr>
        <w:t>Luxation négligée du coude en milieu tropical : réduction chirurgicale</w:t>
      </w:r>
      <w:r w:rsidRPr="007E4A54">
        <w:rPr>
          <w:rFonts w:ascii="Bookman Old Style" w:hAnsi="Bookman Old Style"/>
          <w:b/>
          <w:color w:val="000000"/>
        </w:rPr>
        <w:br/>
        <w:t>avec allongement du tendon tricipital par une plastie en VY : à propos</w:t>
      </w:r>
      <w:r w:rsidRPr="007E4A54">
        <w:rPr>
          <w:rFonts w:ascii="Bookman Old Style" w:hAnsi="Bookman Old Style"/>
          <w:b/>
          <w:color w:val="000000"/>
        </w:rPr>
        <w:br/>
        <w:t>de 15 cas</w:t>
      </w:r>
      <w:r w:rsidRPr="007E4A54">
        <w:rPr>
          <w:rFonts w:ascii="Bookman Old Style" w:hAnsi="Bookman Old Style"/>
          <w:color w:val="000000"/>
        </w:rPr>
        <w:br/>
      </w:r>
    </w:p>
    <w:p w:rsidR="007E4A54" w:rsidRPr="006802F1" w:rsidRDefault="007E4A54" w:rsidP="006802F1">
      <w:pPr>
        <w:jc w:val="both"/>
        <w:rPr>
          <w:rFonts w:ascii="Bookman Old Style" w:hAnsi="Bookman Old Style"/>
          <w:color w:val="000000"/>
          <w:lang w:val="en-US"/>
        </w:rPr>
      </w:pPr>
      <w:r w:rsidRPr="006802F1">
        <w:rPr>
          <w:rFonts w:ascii="Bookman Old Style" w:hAnsi="Bookman Old Style"/>
          <w:i/>
          <w:color w:val="000000"/>
          <w:lang w:val="en-US"/>
        </w:rPr>
        <w:t>Neglected dislocation of the elbow in tropical environments: Surgical reduction</w:t>
      </w:r>
      <w:r w:rsidRPr="006802F1">
        <w:rPr>
          <w:rFonts w:ascii="Bookman Old Style" w:hAnsi="Bookman Old Style"/>
          <w:i/>
          <w:color w:val="000000"/>
          <w:lang w:val="en-US"/>
        </w:rPr>
        <w:br/>
        <w:t xml:space="preserve">with elongation of the tricipital tendon by a VY </w:t>
      </w:r>
      <w:proofErr w:type="spellStart"/>
      <w:r w:rsidRPr="006802F1">
        <w:rPr>
          <w:rFonts w:ascii="Bookman Old Style" w:hAnsi="Bookman Old Style"/>
          <w:i/>
          <w:color w:val="000000"/>
          <w:lang w:val="en-US"/>
        </w:rPr>
        <w:t>plasty</w:t>
      </w:r>
      <w:proofErr w:type="spellEnd"/>
      <w:r w:rsidRPr="006802F1">
        <w:rPr>
          <w:rFonts w:ascii="Bookman Old Style" w:hAnsi="Bookman Old Style"/>
          <w:i/>
          <w:color w:val="000000"/>
          <w:lang w:val="en-US"/>
        </w:rPr>
        <w:t>: about 15 cases</w:t>
      </w:r>
    </w:p>
    <w:p w:rsidR="006802F1" w:rsidRPr="006802F1" w:rsidRDefault="007E4A54" w:rsidP="006802F1">
      <w:pPr>
        <w:jc w:val="both"/>
        <w:rPr>
          <w:rFonts w:ascii="Bookman Old Style" w:hAnsi="Bookman Old Style"/>
        </w:rPr>
      </w:pPr>
      <w:r w:rsidRPr="006802F1">
        <w:rPr>
          <w:rFonts w:ascii="Bookman Old Style" w:hAnsi="Bookman Old Style"/>
          <w:color w:val="000000"/>
          <w:lang w:val="en-US"/>
        </w:rPr>
        <w:br/>
      </w:r>
      <w:r w:rsidRPr="007E4A54">
        <w:rPr>
          <w:rFonts w:ascii="Bookman Old Style" w:hAnsi="Bookman Old Style"/>
          <w:color w:val="000000"/>
        </w:rPr>
        <w:t>Akobe</w:t>
      </w:r>
      <w:r>
        <w:rPr>
          <w:rFonts w:ascii="Bookman Old Style" w:hAnsi="Bookman Old Style"/>
          <w:color w:val="000000"/>
        </w:rPr>
        <w:t xml:space="preserve"> Achié </w:t>
      </w:r>
      <w:r w:rsidRPr="007E4A54">
        <w:rPr>
          <w:rFonts w:ascii="Bookman Old Style" w:hAnsi="Bookman Old Style"/>
          <w:color w:val="000000"/>
        </w:rPr>
        <w:t>Jean Regis</w:t>
      </w:r>
      <w:r w:rsidR="006802F1">
        <w:rPr>
          <w:rFonts w:ascii="Bookman Old Style" w:hAnsi="Bookman Old Style"/>
          <w:color w:val="000000"/>
        </w:rPr>
        <w:t>*</w:t>
      </w:r>
      <w:r>
        <w:rPr>
          <w:rFonts w:ascii="Bookman Old Style" w:hAnsi="Bookman Old Style"/>
          <w:color w:val="000000"/>
        </w:rPr>
        <w:t xml:space="preserve">, </w:t>
      </w:r>
      <w:r w:rsidRPr="007E4A54">
        <w:rPr>
          <w:rFonts w:ascii="Bookman Old Style" w:hAnsi="Bookman Old Style"/>
          <w:color w:val="000000"/>
        </w:rPr>
        <w:t xml:space="preserve">Kouassi </w:t>
      </w:r>
      <w:r>
        <w:rPr>
          <w:rFonts w:ascii="Bookman Old Style" w:hAnsi="Bookman Old Style"/>
          <w:color w:val="000000"/>
        </w:rPr>
        <w:t>Kouamé Jean-Eric</w:t>
      </w:r>
      <w:r w:rsidRPr="007E4A54">
        <w:rPr>
          <w:rFonts w:ascii="Bookman Old Style" w:hAnsi="Bookman Old Style"/>
          <w:color w:val="000000"/>
        </w:rPr>
        <w:t xml:space="preserve">, </w:t>
      </w:r>
      <w:r w:rsidRPr="007E4A54">
        <w:rPr>
          <w:rFonts w:ascii="Bookman Old Style" w:hAnsi="Bookman Old Style"/>
          <w:color w:val="000000"/>
        </w:rPr>
        <w:t>M’bra</w:t>
      </w:r>
      <w:r>
        <w:rPr>
          <w:rFonts w:ascii="Bookman Old Style" w:hAnsi="Bookman Old Style"/>
          <w:color w:val="000000"/>
        </w:rPr>
        <w:t xml:space="preserve">, </w:t>
      </w:r>
      <w:r w:rsidRPr="007E4A54">
        <w:rPr>
          <w:rFonts w:ascii="Bookman Old Style" w:hAnsi="Bookman Old Style"/>
          <w:color w:val="000000"/>
        </w:rPr>
        <w:t xml:space="preserve">Kouamé </w:t>
      </w:r>
      <w:proofErr w:type="gramStart"/>
      <w:r w:rsidRPr="007E4A54">
        <w:rPr>
          <w:rFonts w:ascii="Bookman Old Style" w:hAnsi="Bookman Old Style"/>
          <w:color w:val="000000"/>
        </w:rPr>
        <w:t>Innocent  ,</w:t>
      </w:r>
      <w:proofErr w:type="gramEnd"/>
      <w:r w:rsidRPr="007E4A54">
        <w:rPr>
          <w:rFonts w:ascii="Bookman Old Style" w:hAnsi="Bookman Old Style"/>
          <w:color w:val="000000"/>
        </w:rPr>
        <w:t xml:space="preserve"> </w:t>
      </w:r>
      <w:r w:rsidRPr="007E4A54">
        <w:rPr>
          <w:rFonts w:ascii="Bookman Old Style" w:hAnsi="Bookman Old Style"/>
          <w:color w:val="000000"/>
        </w:rPr>
        <w:t>Yao</w:t>
      </w:r>
      <w:r w:rsidRPr="007E4A54">
        <w:rPr>
          <w:rFonts w:ascii="Bookman Old Style" w:hAnsi="Bookman Old Style"/>
          <w:color w:val="000000"/>
        </w:rPr>
        <w:t xml:space="preserve"> </w:t>
      </w:r>
      <w:r>
        <w:rPr>
          <w:rFonts w:ascii="Bookman Old Style" w:hAnsi="Bookman Old Style"/>
          <w:color w:val="000000"/>
        </w:rPr>
        <w:t xml:space="preserve">, </w:t>
      </w:r>
      <w:r w:rsidRPr="007E4A54">
        <w:rPr>
          <w:rFonts w:ascii="Bookman Old Style" w:hAnsi="Bookman Old Style"/>
          <w:color w:val="000000"/>
        </w:rPr>
        <w:t>Loukou Blaise ,</w:t>
      </w:r>
      <w:r>
        <w:rPr>
          <w:rFonts w:ascii="Bookman Old Style" w:hAnsi="Bookman Old Style"/>
          <w:color w:val="000000"/>
        </w:rPr>
        <w:t>Sery Bada Justin Lé</w:t>
      </w:r>
      <w:r w:rsidR="006802F1">
        <w:rPr>
          <w:rFonts w:ascii="Bookman Old Style" w:hAnsi="Bookman Old Style"/>
          <w:color w:val="000000"/>
        </w:rPr>
        <w:t xml:space="preserve">opold Niaoré, Kouassi Aya Natacha Adélaïde, Kaba Lanciné, Assere Yao Aboh Arnaud,  </w:t>
      </w:r>
      <w:r w:rsidR="006802F1" w:rsidRPr="007E4A54">
        <w:rPr>
          <w:rFonts w:ascii="Bookman Old Style" w:hAnsi="Bookman Old Style"/>
          <w:color w:val="000000"/>
        </w:rPr>
        <w:t>Krah</w:t>
      </w:r>
      <w:r w:rsidR="006802F1" w:rsidRPr="007E4A54">
        <w:rPr>
          <w:rFonts w:ascii="Bookman Old Style" w:hAnsi="Bookman Old Style"/>
          <w:color w:val="000000"/>
        </w:rPr>
        <w:t xml:space="preserve"> </w:t>
      </w:r>
      <w:r w:rsidRPr="007E4A54">
        <w:rPr>
          <w:rFonts w:ascii="Bookman Old Style" w:hAnsi="Bookman Old Style"/>
          <w:color w:val="000000"/>
        </w:rPr>
        <w:t xml:space="preserve">Koffi </w:t>
      </w:r>
      <w:r w:rsidR="006802F1" w:rsidRPr="007E4A54">
        <w:rPr>
          <w:rFonts w:ascii="Bookman Old Style" w:hAnsi="Bookman Old Style"/>
          <w:color w:val="000000"/>
        </w:rPr>
        <w:t>Léopold</w:t>
      </w:r>
      <w:r w:rsidRPr="007E4A54">
        <w:rPr>
          <w:rFonts w:ascii="Bookman Old Style" w:hAnsi="Bookman Old Style"/>
          <w:color w:val="000000"/>
        </w:rPr>
        <w:t xml:space="preserve"> , </w:t>
      </w:r>
      <w:r w:rsidR="006802F1" w:rsidRPr="007E4A54">
        <w:rPr>
          <w:rFonts w:ascii="Bookman Old Style" w:hAnsi="Bookman Old Style"/>
          <w:color w:val="000000"/>
        </w:rPr>
        <w:t>Kodo</w:t>
      </w:r>
      <w:r w:rsidR="006802F1" w:rsidRPr="007E4A54">
        <w:rPr>
          <w:rFonts w:ascii="Bookman Old Style" w:hAnsi="Bookman Old Style"/>
        </w:rPr>
        <w:t xml:space="preserve"> </w:t>
      </w:r>
      <w:r w:rsidRPr="007E4A54">
        <w:rPr>
          <w:rFonts w:ascii="Bookman Old Style" w:hAnsi="Bookman Old Style"/>
          <w:color w:val="000000"/>
        </w:rPr>
        <w:t xml:space="preserve">Michel </w:t>
      </w:r>
    </w:p>
    <w:p w:rsidR="007E4A54" w:rsidRPr="006802F1" w:rsidRDefault="007E4A54" w:rsidP="006802F1">
      <w:pPr>
        <w:jc w:val="both"/>
        <w:rPr>
          <w:rStyle w:val="fontstyle21"/>
          <w:rFonts w:ascii="Bookman Old Style" w:hAnsi="Bookman Old Style"/>
          <w:b/>
          <w:sz w:val="22"/>
          <w:szCs w:val="22"/>
        </w:rPr>
      </w:pPr>
      <w:r w:rsidRPr="007E4A54">
        <w:rPr>
          <w:rStyle w:val="fontstyle01"/>
          <w:rFonts w:ascii="Bookman Old Style" w:hAnsi="Bookman Old Style"/>
          <w:b/>
          <w:sz w:val="22"/>
          <w:szCs w:val="22"/>
        </w:rPr>
        <w:t xml:space="preserve">Introduction.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Les luxations négligées du coude entraînent souvent une altération de la fonction du</w:t>
      </w:r>
      <w:r>
        <w:rPr>
          <w:rFonts w:ascii="Bookman Old Style" w:hAnsi="Bookman Old Style"/>
          <w:color w:val="000000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coude. Le traitement chirurgical est difficile en raison de la rétraction du muscle triceps brachial. Nous</w:t>
      </w:r>
      <w:r>
        <w:rPr>
          <w:rFonts w:ascii="Bookman Old Style" w:hAnsi="Bookman Old Style"/>
          <w:color w:val="000000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rapportons notre expérience dans le traitement de ces luxations négligées en utilisant une réduction</w:t>
      </w:r>
      <w:r>
        <w:rPr>
          <w:rFonts w:ascii="Bookman Old Style" w:hAnsi="Bookman Old Style"/>
          <w:color w:val="000000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sanglante par voie postérieure associée à un allongement du tendon tricipital par une plastie en VY.</w:t>
      </w:r>
      <w:r w:rsidRPr="007E4A54">
        <w:rPr>
          <w:rFonts w:ascii="Bookman Old Style" w:hAnsi="Bookman Old Style"/>
          <w:color w:val="000000"/>
        </w:rPr>
        <w:br/>
      </w:r>
      <w:r>
        <w:rPr>
          <w:rStyle w:val="fontstyle01"/>
          <w:rFonts w:ascii="Bookman Old Style" w:hAnsi="Bookman Old Style"/>
          <w:b/>
          <w:sz w:val="22"/>
          <w:szCs w:val="22"/>
        </w:rPr>
        <w:t>M</w:t>
      </w:r>
      <w:r w:rsidRPr="007E4A54">
        <w:rPr>
          <w:rStyle w:val="fontstyle01"/>
          <w:rFonts w:ascii="Bookman Old Style" w:hAnsi="Bookman Old Style"/>
          <w:b/>
          <w:sz w:val="22"/>
          <w:szCs w:val="22"/>
        </w:rPr>
        <w:t>éthodes.</w:t>
      </w:r>
      <w:r w:rsidRPr="007E4A54">
        <w:rPr>
          <w:rStyle w:val="fontstyle01"/>
          <w:rFonts w:ascii="Bookman Old Style" w:hAnsi="Bookman Old Style"/>
          <w:sz w:val="22"/>
          <w:szCs w:val="22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Cette étude prospective a été menée entre janvier 2014 et décembre 2018. Les</w:t>
      </w:r>
      <w:r w:rsidR="006802F1">
        <w:rPr>
          <w:rStyle w:val="fontstyle21"/>
          <w:rFonts w:ascii="Bookman Old Style" w:hAnsi="Bookman Old Style"/>
          <w:sz w:val="22"/>
          <w:szCs w:val="22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 xml:space="preserve">patients qui présentaient une luxation du coude non réduite de plus de 21 jours </w:t>
      </w:r>
      <w:proofErr w:type="gramStart"/>
      <w:r w:rsidRPr="007E4A54">
        <w:rPr>
          <w:rStyle w:val="fontstyle21"/>
          <w:rFonts w:ascii="Bookman Old Style" w:hAnsi="Bookman Old Style"/>
          <w:sz w:val="22"/>
          <w:szCs w:val="22"/>
        </w:rPr>
        <w:t>était</w:t>
      </w:r>
      <w:proofErr w:type="gramEnd"/>
      <w:r w:rsidRPr="007E4A54">
        <w:rPr>
          <w:rStyle w:val="fontstyle21"/>
          <w:rFonts w:ascii="Bookman Old Style" w:hAnsi="Bookman Old Style"/>
          <w:sz w:val="22"/>
          <w:szCs w:val="22"/>
        </w:rPr>
        <w:t xml:space="preserve"> inclus. Nous avons</w:t>
      </w:r>
      <w:r>
        <w:rPr>
          <w:rFonts w:ascii="Bookman Old Style" w:hAnsi="Bookman Old Style"/>
          <w:color w:val="000000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 xml:space="preserve">traité 15 patients (11 hommes et 4 femmes). L’âge moyen était de 26,7 </w:t>
      </w:r>
      <w:r w:rsidRPr="007E4A54">
        <w:rPr>
          <w:rStyle w:val="fontstyle31"/>
          <w:rFonts w:ascii="Bookman Old Style" w:hAnsi="Bookman Old Style"/>
          <w:sz w:val="22"/>
          <w:szCs w:val="22"/>
        </w:rPr>
        <w:t xml:space="preserve">±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10,5 ans (12-49). Le délai moyen</w:t>
      </w:r>
      <w:r>
        <w:rPr>
          <w:rFonts w:ascii="Bookman Old Style" w:hAnsi="Bookman Old Style"/>
          <w:color w:val="000000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 xml:space="preserve">de consultation était de 9,4 </w:t>
      </w:r>
      <w:r w:rsidRPr="007E4A54">
        <w:rPr>
          <w:rStyle w:val="fontstyle31"/>
          <w:rFonts w:ascii="Bookman Old Style" w:hAnsi="Bookman Old Style"/>
          <w:sz w:val="22"/>
          <w:szCs w:val="22"/>
        </w:rPr>
        <w:t xml:space="preserve">±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2,6 mois (6-14). La flexion moyenne était de 19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◦±</w:t>
      </w:r>
      <w:r w:rsidRPr="007E4A54">
        <w:rPr>
          <w:rStyle w:val="fontstyle21"/>
          <w:rFonts w:ascii="Bookman Old Style" w:hAnsi="Bookman Old Style"/>
          <w:sz w:val="22"/>
          <w:szCs w:val="22"/>
        </w:rPr>
        <w:t>10</w:t>
      </w:r>
      <w:proofErr w:type="gramStart"/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(</w:t>
      </w:r>
      <w:proofErr w:type="gramEnd"/>
      <w:r w:rsidRPr="007E4A54">
        <w:rPr>
          <w:rStyle w:val="fontstyle21"/>
          <w:rFonts w:ascii="Bookman Old Style" w:hAnsi="Bookman Old Style"/>
          <w:sz w:val="22"/>
          <w:szCs w:val="22"/>
        </w:rPr>
        <w:t>5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-40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) et le déficit d’extension était de 5,6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◦±</w:t>
      </w:r>
      <w:r w:rsidRPr="007E4A54">
        <w:rPr>
          <w:rStyle w:val="fontstyle21"/>
          <w:rFonts w:ascii="Bookman Old Style" w:hAnsi="Bookman Old Style"/>
          <w:sz w:val="22"/>
          <w:szCs w:val="22"/>
        </w:rPr>
        <w:t>6,2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(0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-20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) avant la chirurgie. L’amplitude de mouvement moyen était</w:t>
      </w:r>
      <w:r w:rsidR="006802F1">
        <w:rPr>
          <w:rStyle w:val="fontstyle21"/>
          <w:rFonts w:ascii="Bookman Old Style" w:hAnsi="Bookman Old Style"/>
          <w:sz w:val="22"/>
          <w:szCs w:val="22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de 13,3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◦±</w:t>
      </w:r>
      <w:r w:rsidRPr="007E4A54">
        <w:rPr>
          <w:rStyle w:val="fontstyle21"/>
          <w:rFonts w:ascii="Bookman Old Style" w:hAnsi="Bookman Old Style"/>
          <w:sz w:val="22"/>
          <w:szCs w:val="22"/>
        </w:rPr>
        <w:t>5,2</w:t>
      </w:r>
      <w:proofErr w:type="gramStart"/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(</w:t>
      </w:r>
      <w:proofErr w:type="gramEnd"/>
      <w:r w:rsidRPr="007E4A54">
        <w:rPr>
          <w:rStyle w:val="fontstyle21"/>
          <w:rFonts w:ascii="Bookman Old Style" w:hAnsi="Bookman Old Style"/>
          <w:sz w:val="22"/>
          <w:szCs w:val="22"/>
        </w:rPr>
        <w:t>5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-25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). Une réduction sanglante associée à un allongement du tendon tricipital par une</w:t>
      </w:r>
      <w:r>
        <w:rPr>
          <w:rFonts w:ascii="Bookman Old Style" w:hAnsi="Bookman Old Style"/>
          <w:color w:val="000000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 xml:space="preserve">plastie en VY </w:t>
      </w:r>
      <w:proofErr w:type="gramStart"/>
      <w:r w:rsidRPr="007E4A54">
        <w:rPr>
          <w:rStyle w:val="fontstyle21"/>
          <w:rFonts w:ascii="Bookman Old Style" w:hAnsi="Bookman Old Style"/>
          <w:sz w:val="22"/>
          <w:szCs w:val="22"/>
        </w:rPr>
        <w:t>ont</w:t>
      </w:r>
      <w:proofErr w:type="gramEnd"/>
      <w:r w:rsidRPr="007E4A54">
        <w:rPr>
          <w:rStyle w:val="fontstyle21"/>
          <w:rFonts w:ascii="Bookman Old Style" w:hAnsi="Bookman Old Style"/>
          <w:sz w:val="22"/>
          <w:szCs w:val="22"/>
        </w:rPr>
        <w:t xml:space="preserve"> été réalisé chez tous les patients.</w:t>
      </w:r>
      <w:r w:rsidRPr="007E4A54">
        <w:rPr>
          <w:rFonts w:ascii="Bookman Old Style" w:hAnsi="Bookman Old Style"/>
          <w:color w:val="000000"/>
        </w:rPr>
        <w:br/>
      </w:r>
      <w:r w:rsidR="006802F1">
        <w:rPr>
          <w:rStyle w:val="fontstyle01"/>
          <w:rFonts w:ascii="Bookman Old Style" w:hAnsi="Bookman Old Style"/>
          <w:b/>
          <w:sz w:val="22"/>
          <w:szCs w:val="22"/>
        </w:rPr>
        <w:t xml:space="preserve">Résultats. </w:t>
      </w:r>
      <w:r w:rsidRPr="007E4A54">
        <w:rPr>
          <w:rStyle w:val="fontstyle21"/>
          <w:rFonts w:ascii="Bookman Old Style" w:hAnsi="Bookman Old Style"/>
          <w:sz w:val="22"/>
          <w:szCs w:val="22"/>
        </w:rPr>
        <w:t xml:space="preserve">Le suivi moyen était de 17 </w:t>
      </w:r>
      <w:r w:rsidRPr="007E4A54">
        <w:rPr>
          <w:rStyle w:val="fontstyle31"/>
          <w:rFonts w:ascii="Bookman Old Style" w:hAnsi="Bookman Old Style"/>
          <w:sz w:val="22"/>
          <w:szCs w:val="22"/>
        </w:rPr>
        <w:t xml:space="preserve">±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2,1 mois (12-20). La flexion moyenne était 114,6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◦±</w:t>
      </w:r>
      <w:r w:rsidRPr="007E4A54">
        <w:rPr>
          <w:rStyle w:val="fontstyle21"/>
          <w:rFonts w:ascii="Bookman Old Style" w:hAnsi="Bookman Old Style"/>
          <w:sz w:val="22"/>
          <w:szCs w:val="22"/>
        </w:rPr>
        <w:t>9,9</w:t>
      </w:r>
      <w:r w:rsidRPr="007E4A54">
        <w:rPr>
          <w:rStyle w:val="fontstyle31"/>
          <w:rFonts w:ascii="Bookman Old Style" w:hAnsi="Bookman Old Style"/>
          <w:sz w:val="22"/>
          <w:szCs w:val="22"/>
        </w:rPr>
        <w:t xml:space="preserve">◦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(100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-135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) et le déficit d’extension moyen était de 37,3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◦±</w:t>
      </w:r>
      <w:r w:rsidRPr="007E4A54">
        <w:rPr>
          <w:rStyle w:val="fontstyle21"/>
          <w:rFonts w:ascii="Bookman Old Style" w:hAnsi="Bookman Old Style"/>
          <w:sz w:val="22"/>
          <w:szCs w:val="22"/>
        </w:rPr>
        <w:t>11,1</w:t>
      </w:r>
      <w:proofErr w:type="gramStart"/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(</w:t>
      </w:r>
      <w:proofErr w:type="gramEnd"/>
      <w:r w:rsidRPr="007E4A54">
        <w:rPr>
          <w:rStyle w:val="fontstyle21"/>
          <w:rFonts w:ascii="Bookman Old Style" w:hAnsi="Bookman Old Style"/>
          <w:sz w:val="22"/>
          <w:szCs w:val="22"/>
        </w:rPr>
        <w:t>20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-60</w:t>
      </w:r>
      <w:r w:rsidRPr="007E4A54">
        <w:rPr>
          <w:rStyle w:val="fontstyle31"/>
          <w:rFonts w:ascii="Bookman Old Style" w:hAnsi="Bookman Old Style"/>
          <w:sz w:val="22"/>
          <w:szCs w:val="22"/>
        </w:rPr>
        <w:t>◦</w:t>
      </w:r>
      <w:r w:rsidRPr="007E4A54">
        <w:rPr>
          <w:rStyle w:val="fontstyle21"/>
          <w:rFonts w:ascii="Bookman Old Style" w:hAnsi="Bookman Old Style"/>
          <w:sz w:val="22"/>
          <w:szCs w:val="22"/>
        </w:rPr>
        <w:t>). L’indice moyen de performance du</w:t>
      </w:r>
      <w:r>
        <w:rPr>
          <w:rFonts w:ascii="Bookman Old Style" w:hAnsi="Bookman Old Style"/>
          <w:color w:val="000000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coude de la Mayo Clinic était de 75</w:t>
      </w:r>
      <w:r w:rsidRPr="007E4A54">
        <w:rPr>
          <w:rStyle w:val="fontstyle31"/>
          <w:rFonts w:ascii="Bookman Old Style" w:hAnsi="Bookman Old Style"/>
          <w:sz w:val="22"/>
          <w:szCs w:val="22"/>
        </w:rPr>
        <w:t xml:space="preserve">±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8,2 (60-85), avec 11 bons et 4 moyens résultats. L’amélioration</w:t>
      </w:r>
      <w:r>
        <w:rPr>
          <w:rFonts w:ascii="Bookman Old Style" w:hAnsi="Bookman Old Style"/>
          <w:color w:val="000000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globale de l’amplitude du coude était statistiquement significative. Il y avait trois cas de parésie du nerf</w:t>
      </w:r>
      <w:r>
        <w:rPr>
          <w:rFonts w:ascii="Bookman Old Style" w:hAnsi="Bookman Old Style"/>
          <w:color w:val="000000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 xml:space="preserve">ulnaire qui </w:t>
      </w:r>
      <w:bookmarkStart w:id="0" w:name="_GoBack"/>
      <w:bookmarkEnd w:id="0"/>
      <w:r w:rsidRPr="007E4A54">
        <w:rPr>
          <w:rStyle w:val="fontstyle21"/>
          <w:rFonts w:ascii="Bookman Old Style" w:hAnsi="Bookman Old Style"/>
          <w:sz w:val="22"/>
          <w:szCs w:val="22"/>
        </w:rPr>
        <w:t>ont régressé en deux mois.</w:t>
      </w:r>
      <w:r w:rsidRPr="007E4A54">
        <w:rPr>
          <w:rFonts w:ascii="Bookman Old Style" w:hAnsi="Bookman Old Style"/>
          <w:color w:val="000000"/>
        </w:rPr>
        <w:br/>
      </w:r>
      <w:r w:rsidRPr="007E4A54">
        <w:rPr>
          <w:rStyle w:val="fontstyle01"/>
          <w:rFonts w:ascii="Bookman Old Style" w:hAnsi="Bookman Old Style"/>
          <w:b/>
          <w:sz w:val="22"/>
          <w:szCs w:val="22"/>
        </w:rPr>
        <w:t>Conclusion.</w:t>
      </w:r>
      <w:r>
        <w:rPr>
          <w:rStyle w:val="fontstyle01"/>
          <w:rFonts w:ascii="Bookman Old Style" w:hAnsi="Bookman Old Style"/>
          <w:sz w:val="22"/>
          <w:szCs w:val="22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  <w:szCs w:val="22"/>
        </w:rPr>
        <w:t>L’amélioration fonctionnelle du coude après la réduction sanglante associée à un allongement du tendon tricipital par une plastie en VY était satisfai</w:t>
      </w:r>
      <w:r>
        <w:rPr>
          <w:rStyle w:val="fontstyle21"/>
          <w:rFonts w:ascii="Bookman Old Style" w:hAnsi="Bookman Old Style"/>
          <w:sz w:val="22"/>
          <w:szCs w:val="22"/>
        </w:rPr>
        <w:t>sante.</w:t>
      </w:r>
    </w:p>
    <w:p w:rsidR="007E4A54" w:rsidRPr="007E4A54" w:rsidRDefault="007E4A54" w:rsidP="006802F1">
      <w:pPr>
        <w:jc w:val="both"/>
        <w:rPr>
          <w:rFonts w:ascii="Bookman Old Style" w:hAnsi="Bookman Old Style"/>
          <w:sz w:val="36"/>
        </w:rPr>
      </w:pPr>
      <w:r w:rsidRPr="007E4A54">
        <w:rPr>
          <w:rStyle w:val="fontstyle01"/>
          <w:rFonts w:ascii="Bookman Old Style" w:hAnsi="Bookman Old Style"/>
          <w:sz w:val="22"/>
        </w:rPr>
        <w:t>Mots clés :</w:t>
      </w:r>
      <w:r w:rsidR="006802F1">
        <w:rPr>
          <w:rStyle w:val="fontstyle01"/>
          <w:rFonts w:ascii="Bookman Old Style" w:hAnsi="Bookman Old Style"/>
          <w:sz w:val="22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</w:rPr>
        <w:t>Coude</w:t>
      </w:r>
      <w:r>
        <w:rPr>
          <w:rFonts w:ascii="Bookman Old Style" w:hAnsi="Bookman Old Style"/>
          <w:color w:val="000000"/>
          <w:szCs w:val="14"/>
        </w:rPr>
        <w:t xml:space="preserve"> - </w:t>
      </w:r>
      <w:r w:rsidRPr="007E4A54">
        <w:rPr>
          <w:rStyle w:val="fontstyle21"/>
          <w:rFonts w:ascii="Bookman Old Style" w:hAnsi="Bookman Old Style"/>
          <w:sz w:val="22"/>
        </w:rPr>
        <w:t>Luxation</w:t>
      </w:r>
      <w:r>
        <w:rPr>
          <w:rStyle w:val="fontstyle21"/>
          <w:rFonts w:ascii="Bookman Old Style" w:hAnsi="Bookman Old Style"/>
          <w:sz w:val="22"/>
        </w:rPr>
        <w:t xml:space="preserve"> -</w:t>
      </w:r>
      <w:r>
        <w:rPr>
          <w:rFonts w:ascii="Bookman Old Style" w:hAnsi="Bookman Old Style"/>
          <w:color w:val="000000"/>
          <w:szCs w:val="14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</w:rPr>
        <w:t>Négligée</w:t>
      </w:r>
      <w:r>
        <w:rPr>
          <w:rStyle w:val="fontstyle21"/>
          <w:rFonts w:ascii="Bookman Old Style" w:hAnsi="Bookman Old Style"/>
          <w:sz w:val="22"/>
        </w:rPr>
        <w:t xml:space="preserve"> - </w:t>
      </w:r>
      <w:r>
        <w:rPr>
          <w:rFonts w:ascii="Bookman Old Style" w:hAnsi="Bookman Old Style"/>
          <w:color w:val="000000"/>
          <w:szCs w:val="14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</w:rPr>
        <w:t>Plastie</w:t>
      </w:r>
      <w:r>
        <w:rPr>
          <w:rStyle w:val="fontstyle21"/>
          <w:rFonts w:ascii="Bookman Old Style" w:hAnsi="Bookman Old Style"/>
          <w:sz w:val="22"/>
        </w:rPr>
        <w:t xml:space="preserve"> </w:t>
      </w:r>
      <w:r w:rsidRPr="007E4A54">
        <w:rPr>
          <w:rStyle w:val="fontstyle21"/>
          <w:rFonts w:ascii="Bookman Old Style" w:hAnsi="Bookman Old Style"/>
          <w:sz w:val="22"/>
        </w:rPr>
        <w:t>triceps</w:t>
      </w:r>
      <w:r>
        <w:rPr>
          <w:rStyle w:val="fontstyle21"/>
          <w:rFonts w:ascii="Bookman Old Style" w:hAnsi="Bookman Old Style"/>
          <w:sz w:val="22"/>
        </w:rPr>
        <w:t xml:space="preserve"> - </w:t>
      </w:r>
      <w:r w:rsidRPr="007E4A54">
        <w:rPr>
          <w:rStyle w:val="fontstyle21"/>
          <w:rFonts w:ascii="Bookman Old Style" w:hAnsi="Bookman Old Style"/>
          <w:sz w:val="22"/>
        </w:rPr>
        <w:t>Voie postérieure</w:t>
      </w:r>
    </w:p>
    <w:sectPr w:rsidR="007E4A54" w:rsidRPr="007E4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liverIT">
    <w:altName w:val="Times New Roman"/>
    <w:panose1 w:val="00000000000000000000"/>
    <w:charset w:val="00"/>
    <w:family w:val="roman"/>
    <w:notTrueType/>
    <w:pitch w:val="default"/>
  </w:font>
  <w:font w:name="GulliverRM">
    <w:altName w:val="Times New Roman"/>
    <w:panose1 w:val="00000000000000000000"/>
    <w:charset w:val="00"/>
    <w:family w:val="roman"/>
    <w:notTrueType/>
    <w:pitch w:val="default"/>
  </w:font>
  <w:font w:name="MTSY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A54"/>
    <w:rsid w:val="00453526"/>
    <w:rsid w:val="006802F1"/>
    <w:rsid w:val="007E4A54"/>
    <w:rsid w:val="00D2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7E4A54"/>
    <w:rPr>
      <w:rFonts w:ascii="GulliverIT" w:hAnsi="GulliverI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Policepardfaut"/>
    <w:rsid w:val="007E4A54"/>
    <w:rPr>
      <w:rFonts w:ascii="GulliverRM" w:hAnsi="GulliverRM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Policepardfaut"/>
    <w:rsid w:val="007E4A54"/>
    <w:rPr>
      <w:rFonts w:ascii="MTSY" w:hAnsi="MTSY" w:hint="default"/>
      <w:b w:val="0"/>
      <w:bCs w:val="0"/>
      <w:i w:val="0"/>
      <w:iCs w:val="0"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7E4A54"/>
    <w:rPr>
      <w:rFonts w:ascii="GulliverIT" w:hAnsi="GulliverI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Policepardfaut"/>
    <w:rsid w:val="007E4A54"/>
    <w:rPr>
      <w:rFonts w:ascii="GulliverRM" w:hAnsi="GulliverRM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Policepardfaut"/>
    <w:rsid w:val="007E4A54"/>
    <w:rPr>
      <w:rFonts w:ascii="MTSY" w:hAnsi="MTSY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DOCTEUR AKOBE REGIS</dc:creator>
  <cp:lastModifiedBy>DOCTEUR AKOBE REGIS</cp:lastModifiedBy>
  <cp:revision>1</cp:revision>
  <dcterms:created xsi:type="dcterms:W3CDTF">2023-02-28T12:35:00Z</dcterms:created>
  <dcterms:modified xsi:type="dcterms:W3CDTF">2023-02-28T12:48:00Z</dcterms:modified>
</cp:coreProperties>
</file>