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5B1" w:rsidRPr="007125B1" w:rsidRDefault="007125B1" w:rsidP="00494130">
      <w:pPr>
        <w:pStyle w:val="Heading1"/>
        <w:spacing w:before="170"/>
        <w:ind w:left="0"/>
        <w:rPr>
          <w:color w:val="337AB7"/>
        </w:rPr>
      </w:pPr>
      <w:bookmarkStart w:id="0" w:name="_GoBack"/>
      <w:r>
        <w:rPr>
          <w:color w:val="337AB7"/>
        </w:rPr>
        <w:t>A</w:t>
      </w:r>
      <w:r w:rsidRPr="007125B1">
        <w:rPr>
          <w:color w:val="337AB7"/>
        </w:rPr>
        <w:t xml:space="preserve">pplication of </w:t>
      </w:r>
      <w:proofErr w:type="spellStart"/>
      <w:r w:rsidRPr="007125B1">
        <w:rPr>
          <w:color w:val="337AB7"/>
        </w:rPr>
        <w:t>Bedriod</w:t>
      </w:r>
      <w:proofErr w:type="spellEnd"/>
      <w:r w:rsidRPr="007125B1">
        <w:rPr>
          <w:color w:val="337AB7"/>
        </w:rPr>
        <w:t xml:space="preserve"> to improve the independence of people with limited body movement</w:t>
      </w:r>
    </w:p>
    <w:bookmarkEnd w:id="0"/>
    <w:p w:rsidR="00AE3E37" w:rsidRDefault="007125B1" w:rsidP="007125B1">
      <w:pPr>
        <w:pStyle w:val="BodyText"/>
        <w:spacing w:before="73" w:line="198" w:lineRule="exact"/>
        <w:ind w:left="100" w:right="5987"/>
        <w:rPr>
          <w:rFonts w:ascii="Arial"/>
          <w:sz w:val="20"/>
        </w:rPr>
      </w:pPr>
      <w:r>
        <w:rPr>
          <w:rFonts w:ascii="Arial"/>
        </w:rPr>
        <w:t xml:space="preserve">Mr Jason </w:t>
      </w:r>
      <w:proofErr w:type="spellStart"/>
      <w:r>
        <w:rPr>
          <w:rFonts w:ascii="Arial"/>
        </w:rPr>
        <w:t>Yu,</w:t>
      </w:r>
      <w:proofErr w:type="spellEnd"/>
      <w:r>
        <w:rPr>
          <w:rFonts w:ascii="Arial"/>
        </w:rPr>
        <w:t xml:space="preserve"> </w:t>
      </w:r>
      <w:proofErr w:type="spellStart"/>
      <w:r>
        <w:rPr>
          <w:rFonts w:ascii="Arial"/>
        </w:rPr>
        <w:t>Msc</w:t>
      </w:r>
      <w:proofErr w:type="spellEnd"/>
      <w:r>
        <w:rPr>
          <w:rFonts w:ascii="Arial"/>
        </w:rPr>
        <w:t>(BME), CRSSC, HK</w:t>
      </w:r>
    </w:p>
    <w:p w:rsidR="007125B1" w:rsidRPr="007125B1" w:rsidRDefault="007125B1" w:rsidP="007125B1">
      <w:pPr>
        <w:pStyle w:val="BodyText"/>
        <w:spacing w:before="73" w:line="198" w:lineRule="exact"/>
        <w:ind w:left="100" w:right="5987"/>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125B1" w:rsidRPr="000D32C3" w:rsidRDefault="007125B1" w:rsidP="007125B1">
      <w:pPr>
        <w:rPr>
          <w:rStyle w:val="Strong"/>
          <w:rFonts w:ascii="Cambria" w:hAnsi="Cambria" w:cs="Helvetica"/>
          <w:color w:val="444444"/>
          <w:sz w:val="21"/>
          <w:szCs w:val="21"/>
          <w:shd w:val="clear" w:color="auto" w:fill="FFFFFF"/>
        </w:rPr>
      </w:pPr>
      <w:r w:rsidRPr="000D32C3">
        <w:rPr>
          <w:rStyle w:val="Strong"/>
          <w:rFonts w:ascii="Cambria" w:hAnsi="Cambria" w:cs="Helvetica"/>
          <w:color w:val="444444"/>
          <w:sz w:val="21"/>
          <w:szCs w:val="21"/>
          <w:shd w:val="clear" w:color="auto" w:fill="FFFFFF"/>
        </w:rPr>
        <w:t xml:space="preserve">Background </w:t>
      </w:r>
    </w:p>
    <w:p w:rsidR="007125B1" w:rsidRPr="000D32C3" w:rsidRDefault="007125B1" w:rsidP="007125B1">
      <w:pPr>
        <w:rPr>
          <w:rFonts w:ascii="Cambria" w:hAnsi="Cambria"/>
        </w:rPr>
      </w:pPr>
      <w:r w:rsidRPr="000D32C3">
        <w:rPr>
          <w:rFonts w:ascii="Cambria" w:hAnsi="Cambria"/>
        </w:rPr>
        <w:t>Many individuals disable</w:t>
      </w:r>
      <w:r>
        <w:rPr>
          <w:rFonts w:ascii="Cambria" w:hAnsi="Cambria"/>
        </w:rPr>
        <w:t>d people with special needs,</w:t>
      </w:r>
      <w:r w:rsidRPr="000D32C3">
        <w:rPr>
          <w:rFonts w:ascii="Cambria" w:hAnsi="Cambria"/>
        </w:rPr>
        <w:t xml:space="preserve"> especially tetraplegia </w:t>
      </w:r>
      <w:r>
        <w:rPr>
          <w:rFonts w:ascii="Cambria" w:hAnsi="Cambria"/>
        </w:rPr>
        <w:t xml:space="preserve">or dense stroke </w:t>
      </w:r>
      <w:r w:rsidRPr="000D32C3">
        <w:rPr>
          <w:rFonts w:ascii="Cambria" w:hAnsi="Cambria"/>
        </w:rPr>
        <w:t>patients</w:t>
      </w:r>
      <w:r>
        <w:rPr>
          <w:rFonts w:ascii="Cambria" w:hAnsi="Cambria"/>
        </w:rPr>
        <w:t>,</w:t>
      </w:r>
      <w:r w:rsidRPr="000D32C3">
        <w:rPr>
          <w:rFonts w:ascii="Cambria" w:hAnsi="Cambria"/>
        </w:rPr>
        <w:t xml:space="preserve"> depend on helper</w:t>
      </w:r>
      <w:r>
        <w:rPr>
          <w:rFonts w:ascii="Cambria" w:hAnsi="Cambria"/>
        </w:rPr>
        <w:t>s</w:t>
      </w:r>
      <w:r w:rsidRPr="000D32C3">
        <w:rPr>
          <w:rFonts w:ascii="Cambria" w:hAnsi="Cambria"/>
        </w:rPr>
        <w:t xml:space="preserve"> in their daily life. </w:t>
      </w:r>
      <w:r>
        <w:rPr>
          <w:rFonts w:ascii="Cambria" w:hAnsi="Cambria"/>
        </w:rPr>
        <w:t xml:space="preserve">They are </w:t>
      </w:r>
      <w:r w:rsidRPr="000D32C3">
        <w:rPr>
          <w:rFonts w:ascii="Cambria" w:hAnsi="Cambria"/>
        </w:rPr>
        <w:t xml:space="preserve">impossible to control their posture </w:t>
      </w:r>
      <w:r>
        <w:rPr>
          <w:rFonts w:ascii="Cambria" w:hAnsi="Cambria"/>
        </w:rPr>
        <w:t>in</w:t>
      </w:r>
      <w:r w:rsidRPr="000D32C3">
        <w:rPr>
          <w:rFonts w:ascii="Cambria" w:hAnsi="Cambria"/>
        </w:rPr>
        <w:t xml:space="preserve"> bed due to limited </w:t>
      </w:r>
      <w:r>
        <w:rPr>
          <w:rFonts w:ascii="Cambria" w:hAnsi="Cambria"/>
        </w:rPr>
        <w:t xml:space="preserve">functional movement </w:t>
      </w:r>
      <w:r w:rsidRPr="000D32C3">
        <w:rPr>
          <w:rFonts w:ascii="Cambria" w:hAnsi="Cambria"/>
        </w:rPr>
        <w:t xml:space="preserve">and therefore they must seek </w:t>
      </w:r>
      <w:r>
        <w:rPr>
          <w:rFonts w:ascii="Cambria" w:hAnsi="Cambria"/>
        </w:rPr>
        <w:t xml:space="preserve">assistance </w:t>
      </w:r>
      <w:r w:rsidRPr="000D32C3">
        <w:rPr>
          <w:rFonts w:ascii="Cambria" w:hAnsi="Cambria"/>
        </w:rPr>
        <w:t>from their helper numerously.</w:t>
      </w:r>
    </w:p>
    <w:p w:rsidR="007125B1" w:rsidRPr="000D32C3" w:rsidRDefault="007125B1" w:rsidP="007125B1">
      <w:pPr>
        <w:rPr>
          <w:rStyle w:val="Strong"/>
          <w:rFonts w:ascii="Cambria" w:hAnsi="Cambria" w:cs="Helvetica"/>
          <w:color w:val="444444"/>
          <w:sz w:val="21"/>
          <w:szCs w:val="21"/>
          <w:shd w:val="clear" w:color="auto" w:fill="FFFFFF"/>
        </w:rPr>
      </w:pPr>
    </w:p>
    <w:p w:rsidR="007125B1" w:rsidRPr="000D32C3" w:rsidRDefault="007125B1" w:rsidP="007125B1">
      <w:pPr>
        <w:rPr>
          <w:rStyle w:val="Strong"/>
          <w:rFonts w:ascii="Cambria" w:hAnsi="Cambria" w:cs="Helvetica"/>
          <w:color w:val="444444"/>
          <w:sz w:val="21"/>
          <w:szCs w:val="21"/>
          <w:shd w:val="clear" w:color="auto" w:fill="FFFFFF"/>
        </w:rPr>
      </w:pPr>
      <w:r w:rsidRPr="000D32C3">
        <w:rPr>
          <w:rStyle w:val="Strong"/>
          <w:rFonts w:ascii="Cambria" w:hAnsi="Cambria" w:cs="Helvetica"/>
          <w:color w:val="444444"/>
          <w:sz w:val="21"/>
          <w:szCs w:val="21"/>
          <w:shd w:val="clear" w:color="auto" w:fill="FFFFFF"/>
        </w:rPr>
        <w:t>Purpose</w:t>
      </w:r>
    </w:p>
    <w:p w:rsidR="007125B1" w:rsidRPr="009C042B" w:rsidRDefault="007125B1" w:rsidP="007125B1">
      <w:pPr>
        <w:rPr>
          <w:rStyle w:val="Strong"/>
          <w:rFonts w:ascii="Cambria" w:hAnsi="Cambria"/>
          <w:b w:val="0"/>
          <w:bCs w:val="0"/>
        </w:rPr>
      </w:pPr>
      <w:r w:rsidRPr="000D32C3">
        <w:rPr>
          <w:rFonts w:ascii="Cambria" w:hAnsi="Cambria"/>
        </w:rPr>
        <w:t xml:space="preserve">In order to restore hope and choices of living, </w:t>
      </w:r>
      <w:r>
        <w:rPr>
          <w:rFonts w:ascii="Cambria" w:hAnsi="Cambria"/>
        </w:rPr>
        <w:t>a remote-control adaptation called “</w:t>
      </w:r>
      <w:proofErr w:type="spellStart"/>
      <w:r>
        <w:rPr>
          <w:rFonts w:ascii="Cambria" w:hAnsi="Cambria"/>
        </w:rPr>
        <w:t>Bedriod</w:t>
      </w:r>
      <w:proofErr w:type="spellEnd"/>
      <w:r>
        <w:rPr>
          <w:rFonts w:ascii="Cambria" w:hAnsi="Cambria"/>
        </w:rPr>
        <w:t>” is innovated by CRSSC to facilitate their daily living.</w:t>
      </w:r>
    </w:p>
    <w:p w:rsidR="007125B1" w:rsidRPr="000D32C3" w:rsidRDefault="007125B1" w:rsidP="007125B1">
      <w:pPr>
        <w:rPr>
          <w:rStyle w:val="Strong"/>
          <w:rFonts w:ascii="Cambria" w:hAnsi="Cambria" w:cs="Helvetica"/>
          <w:color w:val="444444"/>
          <w:sz w:val="21"/>
          <w:szCs w:val="21"/>
          <w:shd w:val="clear" w:color="auto" w:fill="FFFFFF"/>
        </w:rPr>
      </w:pPr>
    </w:p>
    <w:p w:rsidR="007125B1" w:rsidRPr="000D32C3" w:rsidRDefault="007125B1" w:rsidP="007125B1">
      <w:pPr>
        <w:rPr>
          <w:rStyle w:val="Strong"/>
          <w:rFonts w:ascii="Cambria" w:hAnsi="Cambria" w:cs="Helvetica"/>
          <w:color w:val="444444"/>
          <w:sz w:val="21"/>
          <w:szCs w:val="21"/>
          <w:shd w:val="clear" w:color="auto" w:fill="FFFFFF"/>
        </w:rPr>
      </w:pPr>
      <w:r w:rsidRPr="000D32C3">
        <w:rPr>
          <w:rStyle w:val="Strong"/>
          <w:rFonts w:ascii="Cambria" w:hAnsi="Cambria" w:cs="Helvetica"/>
          <w:color w:val="444444"/>
          <w:sz w:val="21"/>
          <w:szCs w:val="21"/>
          <w:shd w:val="clear" w:color="auto" w:fill="FFFFFF"/>
        </w:rPr>
        <w:t>Methods</w:t>
      </w:r>
    </w:p>
    <w:p w:rsidR="007125B1" w:rsidRDefault="007125B1" w:rsidP="007125B1">
      <w:pPr>
        <w:rPr>
          <w:rFonts w:ascii="Cambria" w:hAnsi="Cambria"/>
        </w:rPr>
      </w:pPr>
      <w:r>
        <w:rPr>
          <w:rFonts w:ascii="Cambria" w:hAnsi="Cambria"/>
        </w:rPr>
        <w:t>“</w:t>
      </w:r>
      <w:proofErr w:type="spellStart"/>
      <w:r>
        <w:rPr>
          <w:rFonts w:ascii="Cambria" w:hAnsi="Cambria"/>
        </w:rPr>
        <w:t>Bedriod</w:t>
      </w:r>
      <w:proofErr w:type="spellEnd"/>
      <w:r>
        <w:rPr>
          <w:rFonts w:ascii="Cambria" w:hAnsi="Cambria"/>
        </w:rPr>
        <w:t>” is a 3D printed holder anchored on the electric bed remote, a microcontroller unit is embedded in it to control the movement of motor, which is attached to the holder, so as to tele-operate the electric bed according to patient’s input. With the aid of LED indicator (i.e. red represents bed up; Yellow represents bed down), patients can trigger the bed position by a single button with small body movement.</w:t>
      </w:r>
    </w:p>
    <w:p w:rsidR="007125B1" w:rsidRPr="000D32C3" w:rsidRDefault="007125B1" w:rsidP="007125B1">
      <w:pPr>
        <w:rPr>
          <w:rStyle w:val="Strong"/>
          <w:rFonts w:ascii="Cambria" w:hAnsi="Cambria" w:cs="Helvetica"/>
          <w:color w:val="444444"/>
          <w:sz w:val="21"/>
          <w:szCs w:val="21"/>
          <w:shd w:val="clear" w:color="auto" w:fill="FFFFFF"/>
        </w:rPr>
      </w:pPr>
    </w:p>
    <w:p w:rsidR="007125B1" w:rsidRPr="000D32C3" w:rsidRDefault="007125B1" w:rsidP="007125B1">
      <w:pPr>
        <w:rPr>
          <w:rStyle w:val="Strong"/>
          <w:rFonts w:ascii="Cambria" w:hAnsi="Cambria" w:cs="Helvetica"/>
          <w:color w:val="444444"/>
          <w:sz w:val="21"/>
          <w:szCs w:val="21"/>
          <w:shd w:val="clear" w:color="auto" w:fill="FFFFFF"/>
        </w:rPr>
      </w:pPr>
      <w:r w:rsidRPr="000D32C3">
        <w:rPr>
          <w:rStyle w:val="Strong"/>
          <w:rFonts w:ascii="Cambria" w:hAnsi="Cambria" w:cs="Helvetica"/>
          <w:color w:val="444444"/>
          <w:sz w:val="21"/>
          <w:szCs w:val="21"/>
          <w:shd w:val="clear" w:color="auto" w:fill="FFFFFF"/>
        </w:rPr>
        <w:t>Results</w:t>
      </w:r>
    </w:p>
    <w:p w:rsidR="007125B1" w:rsidRDefault="007125B1" w:rsidP="007125B1">
      <w:pPr>
        <w:rPr>
          <w:rFonts w:ascii="Cambria" w:hAnsi="Cambria"/>
        </w:rPr>
      </w:pPr>
      <w:r>
        <w:rPr>
          <w:rFonts w:ascii="Cambria" w:hAnsi="Cambria"/>
        </w:rPr>
        <w:t>Five subjects were recruited, and 100% success rate was reported by therapist. Without “</w:t>
      </w:r>
      <w:proofErr w:type="spellStart"/>
      <w:r>
        <w:rPr>
          <w:rFonts w:ascii="Cambria" w:hAnsi="Cambria"/>
        </w:rPr>
        <w:t>Bedriod</w:t>
      </w:r>
      <w:proofErr w:type="spellEnd"/>
      <w:r>
        <w:rPr>
          <w:rFonts w:ascii="Cambria" w:hAnsi="Cambria"/>
        </w:rPr>
        <w:t xml:space="preserve">”, patients need to seek assistance from helper. Patient lost their verbal ability is even impossible to call for help. Two subjects used push button as input and the remaining used toggle switch. </w:t>
      </w:r>
    </w:p>
    <w:p w:rsidR="007125B1" w:rsidRPr="00BD4B88" w:rsidRDefault="007125B1" w:rsidP="007125B1">
      <w:pPr>
        <w:rPr>
          <w:rStyle w:val="Strong"/>
          <w:rFonts w:ascii="Cambria" w:hAnsi="Cambria" w:cs="Helvetica"/>
          <w:color w:val="444444"/>
          <w:sz w:val="21"/>
          <w:szCs w:val="21"/>
          <w:shd w:val="clear" w:color="auto" w:fill="FFFFFF"/>
        </w:rPr>
      </w:pPr>
    </w:p>
    <w:p w:rsidR="007125B1" w:rsidRPr="000D32C3" w:rsidRDefault="007125B1" w:rsidP="007125B1">
      <w:pPr>
        <w:rPr>
          <w:rStyle w:val="Strong"/>
          <w:rFonts w:ascii="Cambria" w:hAnsi="Cambria" w:cs="Helvetica"/>
          <w:color w:val="444444"/>
          <w:sz w:val="21"/>
          <w:szCs w:val="21"/>
          <w:shd w:val="clear" w:color="auto" w:fill="FFFFFF"/>
        </w:rPr>
      </w:pPr>
      <w:r w:rsidRPr="000D32C3">
        <w:rPr>
          <w:rStyle w:val="Strong"/>
          <w:rFonts w:ascii="Cambria" w:hAnsi="Cambria" w:cs="Helvetica"/>
          <w:color w:val="444444"/>
          <w:sz w:val="21"/>
          <w:szCs w:val="21"/>
          <w:shd w:val="clear" w:color="auto" w:fill="FFFFFF"/>
        </w:rPr>
        <w:t>Conclusion</w:t>
      </w:r>
    </w:p>
    <w:p w:rsidR="007125B1" w:rsidRDefault="007125B1" w:rsidP="007125B1">
      <w:pPr>
        <w:rPr>
          <w:rFonts w:ascii="Cambria" w:hAnsi="Cambria"/>
        </w:rPr>
      </w:pPr>
      <w:r>
        <w:rPr>
          <w:rFonts w:ascii="Cambria" w:hAnsi="Cambria"/>
        </w:rPr>
        <w:t>“</w:t>
      </w:r>
      <w:proofErr w:type="spellStart"/>
      <w:r>
        <w:rPr>
          <w:rFonts w:ascii="Cambria" w:hAnsi="Cambria"/>
        </w:rPr>
        <w:t>Bedriod</w:t>
      </w:r>
      <w:proofErr w:type="spellEnd"/>
      <w:r>
        <w:rPr>
          <w:rFonts w:ascii="Cambria" w:hAnsi="Cambria"/>
        </w:rPr>
        <w:t>” allow patients to adjust their posture independently, feedbacks are positive and patients are confidently to use the device. In this stage, two movements (i.e. bed up and bed down) can be tele-operated by “</w:t>
      </w:r>
      <w:proofErr w:type="spellStart"/>
      <w:r>
        <w:rPr>
          <w:rFonts w:ascii="Cambria" w:hAnsi="Cambria"/>
        </w:rPr>
        <w:t>Bedriod</w:t>
      </w:r>
      <w:proofErr w:type="spellEnd"/>
      <w:r>
        <w:rPr>
          <w:rFonts w:ascii="Cambria" w:hAnsi="Cambria"/>
        </w:rPr>
        <w:t>”, we are exploring possibilities to control the others in the future for serving more patients, allowing them to become more independent via a safe and user-friendly way.</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723CDB" w:rsidP="00723CDB">
      <w:pPr>
        <w:pStyle w:val="BodyText"/>
        <w:spacing w:before="2"/>
        <w:ind w:firstLineChars="300" w:firstLine="504"/>
        <w:rPr>
          <w:rFonts w:ascii="Arial"/>
          <w:b/>
          <w:sz w:val="16"/>
        </w:rPr>
      </w:pPr>
      <w:r w:rsidRPr="00723CDB">
        <w:rPr>
          <w:rFonts w:ascii="Arial"/>
          <w:b/>
          <w:sz w:val="16"/>
        </w:rPr>
        <w:drawing>
          <wp:inline distT="0" distB="0" distL="0" distR="0" wp14:anchorId="03D1E85A" wp14:editId="63DA03AB">
            <wp:extent cx="3165475" cy="2367576"/>
            <wp:effectExtent l="0" t="952" r="0" b="0"/>
            <wp:docPr id="12" name="Content Placeholde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ntent Placeholder 1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165475" cy="2367576"/>
                    </a:xfrm>
                    <a:prstGeom prst="rect">
                      <a:avLst/>
                    </a:prstGeom>
                  </pic:spPr>
                </pic:pic>
              </a:graphicData>
            </a:graphic>
          </wp:inline>
        </w:drawing>
      </w:r>
    </w:p>
    <w:p w:rsidR="00723CDB" w:rsidRDefault="00723CDB">
      <w:pPr>
        <w:pStyle w:val="BodyText"/>
        <w:spacing w:before="2"/>
        <w:rPr>
          <w:rFonts w:ascii="Arial"/>
          <w:b/>
          <w:sz w:val="16"/>
        </w:rPr>
      </w:pPr>
      <w:r>
        <w:rPr>
          <w:rFonts w:ascii="Arial" w:hint="eastAsia"/>
          <w:b/>
          <w:sz w:val="16"/>
        </w:rPr>
        <w:t>Figure1. 3D printed mount on rehabilitation bed remote control.</w:t>
      </w:r>
    </w:p>
    <w:p w:rsidR="005973B9" w:rsidRDefault="005973B9" w:rsidP="005973B9">
      <w:pPr>
        <w:spacing w:line="204" w:lineRule="exact"/>
        <w:rPr>
          <w:rFonts w:ascii="Arial"/>
          <w:b/>
          <w:sz w:val="20"/>
        </w:rPr>
      </w:pPr>
      <w:r>
        <w:rPr>
          <w:rFonts w:ascii="Arial"/>
          <w:b/>
          <w:color w:val="BF5A14"/>
          <w:sz w:val="20"/>
        </w:rPr>
        <w:br/>
        <w:t>Recent Publications (minimum 5)</w:t>
      </w:r>
    </w:p>
    <w:p w:rsidR="007125B1" w:rsidRPr="007125B1" w:rsidRDefault="007125B1" w:rsidP="007125B1">
      <w:pPr>
        <w:pStyle w:val="Default"/>
        <w:numPr>
          <w:ilvl w:val="0"/>
          <w:numId w:val="4"/>
        </w:numPr>
        <w:spacing w:line="276" w:lineRule="auto"/>
        <w:jc w:val="both"/>
        <w:rPr>
          <w:rFonts w:ascii="Cambria" w:eastAsia="Tw Cen MT" w:hAnsi="Cambria" w:cs="Tw Cen MT"/>
          <w:color w:val="auto"/>
          <w:sz w:val="20"/>
          <w:szCs w:val="22"/>
          <w:lang w:eastAsia="en-US"/>
        </w:rPr>
      </w:pPr>
      <w:r w:rsidRPr="007125B1">
        <w:rPr>
          <w:rFonts w:ascii="Cambria" w:eastAsia="Tw Cen MT" w:hAnsi="Cambria" w:cs="Tw Cen MT"/>
          <w:color w:val="auto"/>
          <w:sz w:val="20"/>
          <w:szCs w:val="22"/>
          <w:lang w:eastAsia="en-US"/>
        </w:rPr>
        <w:t xml:space="preserve">Chan, M. K. L., Yeung, W. K. Y., </w:t>
      </w:r>
      <w:proofErr w:type="spellStart"/>
      <w:r w:rsidRPr="007125B1">
        <w:rPr>
          <w:rFonts w:ascii="Cambria" w:eastAsia="Tw Cen MT" w:hAnsi="Cambria" w:cs="Tw Cen MT"/>
          <w:color w:val="auto"/>
          <w:sz w:val="20"/>
          <w:szCs w:val="22"/>
          <w:lang w:eastAsia="en-US"/>
        </w:rPr>
        <w:t>Yu,</w:t>
      </w:r>
      <w:proofErr w:type="spellEnd"/>
      <w:r w:rsidRPr="007125B1">
        <w:rPr>
          <w:rFonts w:ascii="Cambria" w:eastAsia="Tw Cen MT" w:hAnsi="Cambria" w:cs="Tw Cen MT"/>
          <w:color w:val="auto"/>
          <w:sz w:val="20"/>
          <w:szCs w:val="22"/>
          <w:lang w:eastAsia="en-US"/>
        </w:rPr>
        <w:t xml:space="preserve"> J. K. P., Ng, S. S. W., &amp; Tong, R. K. Y. (2022). Exploratory Study on the Clinical use of EEG for the People with Chronic Stroke and Their Correlation with the Neuropsychological Outcome. Clinical EEG and Neuroscience, 15500594221074858.</w:t>
      </w:r>
    </w:p>
    <w:p w:rsidR="007125B1" w:rsidRPr="007125B1" w:rsidRDefault="007125B1" w:rsidP="007125B1">
      <w:pPr>
        <w:pStyle w:val="Default"/>
        <w:numPr>
          <w:ilvl w:val="0"/>
          <w:numId w:val="4"/>
        </w:numPr>
        <w:spacing w:line="276" w:lineRule="auto"/>
        <w:jc w:val="both"/>
        <w:rPr>
          <w:rFonts w:ascii="Cambria" w:eastAsia="Tw Cen MT" w:hAnsi="Cambria" w:cs="Tw Cen MT"/>
          <w:color w:val="auto"/>
          <w:sz w:val="20"/>
          <w:szCs w:val="22"/>
          <w:lang w:eastAsia="en-US"/>
        </w:rPr>
      </w:pPr>
      <w:proofErr w:type="spellStart"/>
      <w:r w:rsidRPr="007125B1">
        <w:rPr>
          <w:rFonts w:ascii="Cambria" w:eastAsia="Tw Cen MT" w:hAnsi="Cambria" w:cs="Tw Cen MT"/>
          <w:color w:val="auto"/>
          <w:sz w:val="20"/>
          <w:szCs w:val="22"/>
          <w:lang w:eastAsia="en-US"/>
        </w:rPr>
        <w:t>Yu,</w:t>
      </w:r>
      <w:proofErr w:type="spellEnd"/>
      <w:r w:rsidRPr="007125B1">
        <w:rPr>
          <w:rFonts w:ascii="Cambria" w:eastAsia="Tw Cen MT" w:hAnsi="Cambria" w:cs="Tw Cen MT"/>
          <w:color w:val="auto"/>
          <w:sz w:val="20"/>
          <w:szCs w:val="22"/>
          <w:lang w:eastAsia="en-US"/>
        </w:rPr>
        <w:t xml:space="preserve"> K.-P., Yeung, L.-F., Ng, S.-W., &amp; Tong, K.-Y. (2020). Bionic robotics for post-polio walking. Intelligent </w:t>
      </w:r>
      <w:proofErr w:type="spellStart"/>
      <w:r w:rsidRPr="007125B1">
        <w:rPr>
          <w:rFonts w:ascii="Cambria" w:eastAsia="Tw Cen MT" w:hAnsi="Cambria" w:cs="Tw Cen MT"/>
          <w:color w:val="auto"/>
          <w:sz w:val="20"/>
          <w:szCs w:val="22"/>
          <w:lang w:eastAsia="en-US"/>
        </w:rPr>
        <w:t>Biomechatronics</w:t>
      </w:r>
      <w:proofErr w:type="spellEnd"/>
      <w:r w:rsidRPr="007125B1">
        <w:rPr>
          <w:rFonts w:ascii="Cambria" w:eastAsia="Tw Cen MT" w:hAnsi="Cambria" w:cs="Tw Cen MT"/>
          <w:color w:val="auto"/>
          <w:sz w:val="20"/>
          <w:szCs w:val="22"/>
          <w:lang w:eastAsia="en-US"/>
        </w:rPr>
        <w:t xml:space="preserve"> in </w:t>
      </w:r>
      <w:proofErr w:type="spellStart"/>
      <w:r w:rsidRPr="007125B1">
        <w:rPr>
          <w:rFonts w:ascii="Cambria" w:eastAsia="Tw Cen MT" w:hAnsi="Cambria" w:cs="Tw Cen MT"/>
          <w:color w:val="auto"/>
          <w:sz w:val="20"/>
          <w:szCs w:val="22"/>
          <w:lang w:eastAsia="en-US"/>
        </w:rPr>
        <w:t>Neurorehabilitation</w:t>
      </w:r>
      <w:proofErr w:type="spellEnd"/>
      <w:r w:rsidRPr="007125B1">
        <w:rPr>
          <w:rFonts w:ascii="Cambria" w:eastAsia="Tw Cen MT" w:hAnsi="Cambria" w:cs="Tw Cen MT"/>
          <w:color w:val="auto"/>
          <w:sz w:val="20"/>
          <w:szCs w:val="22"/>
          <w:lang w:eastAsia="en-US"/>
        </w:rPr>
        <w:t xml:space="preserve">, 83–109. </w:t>
      </w:r>
    </w:p>
    <w:p w:rsidR="007125B1" w:rsidRPr="007125B1" w:rsidRDefault="007125B1" w:rsidP="007125B1">
      <w:pPr>
        <w:pStyle w:val="Default"/>
        <w:numPr>
          <w:ilvl w:val="0"/>
          <w:numId w:val="4"/>
        </w:numPr>
        <w:spacing w:line="276" w:lineRule="auto"/>
        <w:jc w:val="both"/>
        <w:rPr>
          <w:rFonts w:ascii="Cambria" w:eastAsia="Tw Cen MT" w:hAnsi="Cambria" w:cs="Tw Cen MT"/>
          <w:color w:val="auto"/>
          <w:sz w:val="20"/>
          <w:szCs w:val="22"/>
          <w:lang w:eastAsia="en-US"/>
        </w:rPr>
      </w:pPr>
      <w:r w:rsidRPr="007125B1">
        <w:rPr>
          <w:rFonts w:ascii="Cambria" w:eastAsia="Tw Cen MT" w:hAnsi="Cambria" w:cs="Tw Cen MT"/>
          <w:color w:val="auto"/>
          <w:sz w:val="20"/>
          <w:szCs w:val="22"/>
          <w:lang w:eastAsia="en-US"/>
        </w:rPr>
        <w:t xml:space="preserve">Serena, Ng &amp; Simon, Chan &amp; Richy, Ng &amp; Jason, Yu &amp; Jocelyn, Au. (2019). Effective Assessment of Power Standing Device to Adults with Permanent Lower Limb Paralysis. Research in Health Science. 4. p246. </w:t>
      </w:r>
    </w:p>
    <w:p w:rsidR="007125B1" w:rsidRPr="007125B1" w:rsidRDefault="007125B1" w:rsidP="007125B1">
      <w:pPr>
        <w:pStyle w:val="Default"/>
        <w:numPr>
          <w:ilvl w:val="0"/>
          <w:numId w:val="4"/>
        </w:numPr>
        <w:spacing w:line="276" w:lineRule="auto"/>
        <w:jc w:val="both"/>
        <w:rPr>
          <w:rFonts w:ascii="Cambria" w:eastAsia="Tw Cen MT" w:hAnsi="Cambria" w:cs="Tw Cen MT"/>
          <w:color w:val="auto"/>
          <w:sz w:val="20"/>
          <w:szCs w:val="22"/>
          <w:lang w:eastAsia="en-US"/>
        </w:rPr>
      </w:pPr>
      <w:r w:rsidRPr="007125B1">
        <w:rPr>
          <w:rFonts w:ascii="Cambria" w:eastAsia="Tw Cen MT" w:hAnsi="Cambria" w:cs="Tw Cen MT"/>
          <w:color w:val="auto"/>
          <w:sz w:val="20"/>
          <w:szCs w:val="22"/>
          <w:lang w:eastAsia="en-US"/>
        </w:rPr>
        <w:t>Chan, S. F., Ng, M. L., Chan, S. Y., Chan, M. M. L., Lau, W. Y., Chan, K. K., &amp; Pong, Y. K. (2019). 44. A third hand for home hemodialysis. Renal Society of Australasia Journal, 15, 35-35.</w:t>
      </w:r>
    </w:p>
    <w:p w:rsidR="00AE3E37" w:rsidRDefault="00AE3E37" w:rsidP="008756E6">
      <w:pPr>
        <w:tabs>
          <w:tab w:val="left" w:pos="384"/>
        </w:tabs>
        <w:ind w:right="117"/>
      </w:pPr>
    </w:p>
    <w:p w:rsidR="00723CDB" w:rsidRDefault="00723CDB" w:rsidP="008756E6">
      <w:pPr>
        <w:tabs>
          <w:tab w:val="left" w:pos="384"/>
        </w:tabs>
        <w:ind w:right="117"/>
      </w:pPr>
    </w:p>
    <w:p w:rsidR="00723CDB" w:rsidRDefault="00723CDB" w:rsidP="008756E6">
      <w:pPr>
        <w:tabs>
          <w:tab w:val="left" w:pos="384"/>
        </w:tabs>
        <w:ind w:right="117"/>
      </w:pPr>
    </w:p>
    <w:p w:rsidR="00723CDB" w:rsidRDefault="00723CDB" w:rsidP="008756E6">
      <w:pPr>
        <w:tabs>
          <w:tab w:val="left" w:pos="384"/>
        </w:tabs>
        <w:ind w:right="117"/>
      </w:pPr>
    </w:p>
    <w:p w:rsidR="00723CDB" w:rsidRDefault="00723CDB" w:rsidP="008756E6">
      <w:pPr>
        <w:tabs>
          <w:tab w:val="left" w:pos="384"/>
        </w:tabs>
        <w:ind w:right="117"/>
      </w:pPr>
    </w:p>
    <w:p w:rsidR="00723CDB" w:rsidRPr="008756E6" w:rsidRDefault="00723CDB"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B357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7271B0" w:rsidP="00404E5B">
      <w:pPr>
        <w:spacing w:before="92"/>
        <w:ind w:right="4234"/>
        <w:rPr>
          <w:rFonts w:ascii="Arial"/>
        </w:rPr>
      </w:pPr>
      <w:r>
        <w:rPr>
          <w:noProof/>
        </w:rPr>
        <w:t xml:space="preserve">         </w:t>
      </w:r>
      <w:r w:rsidR="008756E6">
        <w:rPr>
          <w:noProof/>
        </w:rPr>
        <w:t xml:space="preserve"> </w:t>
      </w:r>
      <w:r w:rsidR="00723CDB">
        <w:rPr>
          <w:noProof/>
          <w:lang w:eastAsia="zh-TW"/>
        </w:rPr>
        <w:drawing>
          <wp:inline distT="0" distB="0" distL="0" distR="0">
            <wp:extent cx="817123" cy="1161285"/>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4010" cy="1185284"/>
                    </a:xfrm>
                    <a:prstGeom prst="rect">
                      <a:avLst/>
                    </a:prstGeom>
                    <a:noFill/>
                    <a:ln>
                      <a:noFill/>
                    </a:ln>
                  </pic:spPr>
                </pic:pic>
              </a:graphicData>
            </a:graphic>
          </wp:inline>
        </w:drawing>
      </w:r>
    </w:p>
    <w:p w:rsidR="00723CDB" w:rsidRDefault="00723CDB" w:rsidP="00723CDB">
      <w:pPr>
        <w:rPr>
          <w:rFonts w:ascii="Arial" w:eastAsiaTheme="minorEastAsia" w:hAnsi="Arial" w:cs="Arial"/>
          <w:b/>
          <w:bCs/>
          <w:color w:val="000000"/>
        </w:rPr>
      </w:pPr>
      <w:r>
        <w:rPr>
          <w:rFonts w:ascii="Arial" w:hAnsi="Arial" w:cs="Arial"/>
          <w:b/>
          <w:bCs/>
          <w:color w:val="000000"/>
        </w:rPr>
        <w:t>Mr. Jason YU K P</w:t>
      </w:r>
    </w:p>
    <w:p w:rsidR="00723CDB" w:rsidRDefault="00723CDB" w:rsidP="00723CDB">
      <w:pPr>
        <w:rPr>
          <w:rFonts w:ascii="Arial" w:hAnsi="Arial" w:cs="Arial"/>
          <w:color w:val="000000"/>
          <w:sz w:val="20"/>
          <w:szCs w:val="20"/>
        </w:rPr>
      </w:pPr>
      <w:r>
        <w:rPr>
          <w:rFonts w:ascii="Arial" w:hAnsi="Arial" w:cs="Arial"/>
          <w:color w:val="000000"/>
          <w:sz w:val="20"/>
          <w:szCs w:val="20"/>
        </w:rPr>
        <w:t>Assistant Manager (Technology), Community Rehabilitation Service Support Centre (CRSSC), Hospital Authority.</w:t>
      </w:r>
    </w:p>
    <w:p w:rsidR="00723CDB" w:rsidRDefault="00723CDB" w:rsidP="00723CDB">
      <w:pPr>
        <w:rPr>
          <w:rFonts w:ascii="Arial" w:hAnsi="Arial" w:cs="Arial"/>
          <w:color w:val="000000"/>
          <w:sz w:val="20"/>
          <w:szCs w:val="20"/>
        </w:rPr>
      </w:pPr>
    </w:p>
    <w:p w:rsidR="00723CDB" w:rsidRDefault="00723CDB" w:rsidP="00723CDB">
      <w:pPr>
        <w:rPr>
          <w:rFonts w:ascii="Arial" w:hAnsi="Arial" w:cs="Arial"/>
          <w:color w:val="000000"/>
          <w:sz w:val="20"/>
          <w:szCs w:val="20"/>
        </w:rPr>
      </w:pPr>
      <w:r>
        <w:rPr>
          <w:rFonts w:ascii="Arial" w:hAnsi="Arial" w:cs="Arial"/>
          <w:color w:val="000000"/>
          <w:sz w:val="20"/>
          <w:szCs w:val="20"/>
        </w:rPr>
        <w:t xml:space="preserve">Mr. Jason YU is </w:t>
      </w:r>
      <w:proofErr w:type="gramStart"/>
      <w:r>
        <w:rPr>
          <w:rFonts w:ascii="Arial" w:hAnsi="Arial" w:cs="Arial"/>
          <w:color w:val="000000"/>
          <w:sz w:val="20"/>
          <w:szCs w:val="20"/>
        </w:rPr>
        <w:t>an</w:t>
      </w:r>
      <w:proofErr w:type="gramEnd"/>
      <w:r>
        <w:rPr>
          <w:rFonts w:ascii="Arial" w:hAnsi="Arial" w:cs="Arial"/>
          <w:color w:val="000000"/>
          <w:sz w:val="20"/>
          <w:szCs w:val="20"/>
        </w:rPr>
        <w:t xml:space="preserve"> clinical engineer working in Hospital Authority at present. With the background of electronic engineering, he has participated in the setting up and development of clinical engineer team in CRSSC. The team is a pioneer that has extensive participation in technology supported patient services including tailor-made assistive devices for persons with different disabilities and patients suffered from rare diseases. For the rehabilitation knowledge development, he has been involved in various clinical researches related to lower limb and upper limb exoskeleton, knee robotic, EEG and EMG study. He is now conducting his PhD study in Biomedical Engineering.</w:t>
      </w:r>
    </w:p>
    <w:p w:rsidR="00AE3E37" w:rsidRDefault="00A9710C">
      <w:pPr>
        <w:spacing w:before="62"/>
        <w:ind w:left="4217" w:right="4235"/>
        <w:jc w:val="center"/>
        <w:rPr>
          <w:rFonts w:ascii="Arial"/>
          <w:sz w:val="14"/>
        </w:rPr>
      </w:pPr>
      <w:r>
        <w:rPr>
          <w:rFonts w:ascii="Arial"/>
          <w:sz w:val="14"/>
        </w:rPr>
        <w:t xml:space="preserve">Email: </w:t>
      </w:r>
      <w:hyperlink r:id="rId11" w:history="1">
        <w:r w:rsidR="00723CDB" w:rsidRPr="00CB46E6">
          <w:rPr>
            <w:rStyle w:val="Hyperlink"/>
            <w:rFonts w:ascii="Arial"/>
            <w:sz w:val="14"/>
          </w:rPr>
          <w:t>ykp587@ha.org.hk</w:t>
        </w:r>
      </w:hyperlink>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8AD4C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sectPr w:rsidR="00AE3E37" w:rsidSect="00723CDB">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Malgun Gothic Semilight"/>
    <w:panose1 w:val="02020500000000000000"/>
    <w:charset w:val="88"/>
    <w:family w:val="roman"/>
    <w:pitch w:val="variable"/>
    <w:sig w:usb0="00000000"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2475CF"/>
    <w:multiLevelType w:val="hybridMultilevel"/>
    <w:tmpl w:val="98D484B2"/>
    <w:lvl w:ilvl="0" w:tplc="D7C667FC">
      <w:start w:val="2019"/>
      <w:numFmt w:val="bullet"/>
      <w:lvlText w:val="-"/>
      <w:lvlJc w:val="left"/>
      <w:pPr>
        <w:ind w:left="720" w:hanging="360"/>
      </w:pPr>
      <w:rPr>
        <w:rFonts w:ascii="Times New Roman" w:eastAsiaTheme="minorEastAsia" w:hAnsi="Times New Roman" w:cs="Times New Roman" w:hint="default"/>
        <w:b/>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125B1"/>
    <w:rsid w:val="00723CDB"/>
    <w:rsid w:val="007271B0"/>
    <w:rsid w:val="0078738A"/>
    <w:rsid w:val="00873DF0"/>
    <w:rsid w:val="008756E6"/>
    <w:rsid w:val="009B2D44"/>
    <w:rsid w:val="00A07E82"/>
    <w:rsid w:val="00A9710C"/>
    <w:rsid w:val="00AE3E37"/>
    <w:rsid w:val="00B21A57"/>
    <w:rsid w:val="00C33602"/>
    <w:rsid w:val="00CD6F55"/>
    <w:rsid w:val="00D32C01"/>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C6653D"/>
  <w15:docId w15:val="{05F31EF3-FA8A-4671-83A7-8EF68463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7125B1"/>
    <w:rPr>
      <w:b/>
      <w:bCs/>
    </w:rPr>
  </w:style>
  <w:style w:type="paragraph" w:customStyle="1" w:styleId="Default">
    <w:name w:val="Default"/>
    <w:rsid w:val="007125B1"/>
    <w:pPr>
      <w:widowControl/>
      <w:autoSpaceDE w:val="0"/>
      <w:autoSpaceDN w:val="0"/>
      <w:adjustRightInd w:val="0"/>
    </w:pPr>
    <w:rPr>
      <w:rFonts w:ascii="Arial" w:hAnsi="Arial" w:cs="Arial"/>
      <w:color w:val="000000"/>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4749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kp587@ha.org.h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Jason YU, QEH AM/Technology(CRSSC)</cp:lastModifiedBy>
  <cp:revision>2</cp:revision>
  <dcterms:created xsi:type="dcterms:W3CDTF">2022-12-13T06:13:00Z</dcterms:created>
  <dcterms:modified xsi:type="dcterms:W3CDTF">2022-12-13T06:13:00Z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