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042CD" w14:textId="76E201B3" w:rsidR="0060335B" w:rsidRPr="008F41F7" w:rsidRDefault="0060335B" w:rsidP="0060335B">
      <w:pPr>
        <w:jc w:val="both"/>
        <w:rPr>
          <w:rFonts w:ascii="Tw Cen MT" w:hAnsi="Tw Cen MT" w:cs="Times New Roman"/>
          <w:b/>
          <w:bCs/>
          <w:color w:val="ED7D31" w:themeColor="accent2"/>
          <w:sz w:val="28"/>
          <w:szCs w:val="28"/>
        </w:rPr>
      </w:pPr>
      <w:r w:rsidRPr="008F41F7">
        <w:rPr>
          <w:rStyle w:val="fontstyle01"/>
          <w:rFonts w:ascii="Tw Cen MT" w:hAnsi="Tw Cen MT"/>
        </w:rPr>
        <w:t>Fear of falling and associated factors</w:t>
      </w:r>
      <w:r w:rsidRPr="008F41F7">
        <w:rPr>
          <w:rFonts w:ascii="Tw Cen MT" w:hAnsi="Tw Cen MT"/>
          <w:color w:val="000000"/>
          <w:sz w:val="48"/>
          <w:szCs w:val="48"/>
        </w:rPr>
        <w:br/>
      </w:r>
      <w:r w:rsidRPr="008F41F7">
        <w:rPr>
          <w:rStyle w:val="fontstyle01"/>
          <w:rFonts w:ascii="Tw Cen MT" w:hAnsi="Tw Cen MT"/>
        </w:rPr>
        <w:t>among older people living in Bahir Dar City,</w:t>
      </w:r>
      <w:r w:rsidRPr="008F41F7">
        <w:rPr>
          <w:rFonts w:ascii="Tw Cen MT" w:hAnsi="Tw Cen MT"/>
          <w:color w:val="000000"/>
          <w:sz w:val="48"/>
          <w:szCs w:val="48"/>
        </w:rPr>
        <w:br/>
      </w:r>
      <w:r w:rsidRPr="008F41F7">
        <w:rPr>
          <w:rStyle w:val="fontstyle01"/>
          <w:rFonts w:ascii="Tw Cen MT" w:hAnsi="Tw Cen MT"/>
        </w:rPr>
        <w:t>Amhara, Ethiopia- a cross-sectional study</w:t>
      </w:r>
      <w:r w:rsidRPr="008F41F7">
        <w:rPr>
          <w:rFonts w:ascii="Tw Cen MT" w:hAnsi="Tw Cen MT"/>
          <w:color w:val="000000"/>
          <w:sz w:val="48"/>
          <w:szCs w:val="48"/>
        </w:rPr>
        <w:br/>
      </w:r>
      <w:proofErr w:type="spellStart"/>
      <w:r w:rsidRPr="008F41F7">
        <w:rPr>
          <w:rStyle w:val="fontstyle21"/>
          <w:rFonts w:ascii="Tw Cen MT" w:hAnsi="Tw Cen MT"/>
        </w:rPr>
        <w:t>Gebremeskel</w:t>
      </w:r>
      <w:proofErr w:type="spellEnd"/>
      <w:r w:rsidRPr="008F41F7">
        <w:rPr>
          <w:rStyle w:val="fontstyle21"/>
          <w:rFonts w:ascii="Tw Cen MT" w:hAnsi="Tw Cen MT"/>
        </w:rPr>
        <w:t xml:space="preserve"> </w:t>
      </w:r>
      <w:proofErr w:type="spellStart"/>
      <w:r w:rsidRPr="008F41F7">
        <w:rPr>
          <w:rStyle w:val="fontstyle21"/>
          <w:rFonts w:ascii="Tw Cen MT" w:hAnsi="Tw Cen MT"/>
        </w:rPr>
        <w:t>Birhanie</w:t>
      </w:r>
      <w:proofErr w:type="spellEnd"/>
    </w:p>
    <w:p w14:paraId="5C6A2EFA" w14:textId="77777777" w:rsidR="008F41F7" w:rsidRDefault="008F41F7" w:rsidP="00B35531">
      <w:pPr>
        <w:jc w:val="both"/>
        <w:rPr>
          <w:rFonts w:ascii="Times New Roman" w:hAnsi="Times New Roman" w:cs="Times New Roman"/>
          <w:b/>
          <w:bCs/>
          <w:color w:val="ED7D31" w:themeColor="accent2"/>
          <w:sz w:val="28"/>
          <w:szCs w:val="28"/>
        </w:rPr>
      </w:pPr>
    </w:p>
    <w:p w14:paraId="0105F784" w14:textId="77777777" w:rsidR="00D30EB0" w:rsidRPr="008F41F7" w:rsidRDefault="008F41F7" w:rsidP="00D30EB0">
      <w:pPr>
        <w:rPr>
          <w:rFonts w:ascii="Tw Cen MT" w:hAnsi="Tw Cen MT" w:cs="Times New Roman"/>
          <w:b/>
          <w:bCs/>
          <w:color w:val="ED7D31" w:themeColor="accent2"/>
          <w:sz w:val="18"/>
          <w:szCs w:val="18"/>
        </w:rPr>
      </w:pPr>
      <w:r>
        <w:rPr>
          <w:rFonts w:ascii="Times New Roman" w:hAnsi="Times New Roman" w:cs="Times New Roman"/>
          <w:b/>
          <w:bCs/>
          <w:color w:val="ED7D31" w:themeColor="accent2"/>
          <w:sz w:val="28"/>
          <w:szCs w:val="28"/>
        </w:rPr>
        <w:t xml:space="preserve">   </w:t>
      </w:r>
      <w:r w:rsidR="00D30EB0" w:rsidRPr="008F41F7">
        <w:rPr>
          <w:rFonts w:ascii="Tw Cen MT" w:hAnsi="Tw Cen MT" w:cs="Times New Roman"/>
          <w:b/>
          <w:bCs/>
          <w:color w:val="ED7D31" w:themeColor="accent2"/>
          <w:sz w:val="18"/>
          <w:szCs w:val="18"/>
        </w:rPr>
        <w:t>Abstract</w:t>
      </w:r>
    </w:p>
    <w:p w14:paraId="5CF5378D" w14:textId="77777777" w:rsidR="00D30EB0" w:rsidRPr="008F41F7" w:rsidRDefault="00D30EB0" w:rsidP="00D30EB0">
      <w:pPr>
        <w:jc w:val="both"/>
        <w:rPr>
          <w:rFonts w:ascii="Tw Cen MT" w:hAnsi="Tw Cen MT" w:cs="Times New Roman"/>
          <w:sz w:val="18"/>
          <w:szCs w:val="18"/>
        </w:rPr>
      </w:pPr>
      <w:r w:rsidRPr="008F41F7">
        <w:rPr>
          <w:rFonts w:ascii="Tw Cen MT" w:hAnsi="Tw Cen MT" w:cs="Times New Roman"/>
          <w:sz w:val="18"/>
          <w:szCs w:val="18"/>
        </w:rPr>
        <w:t>Statement of the Problem: Ageing is a dynamic, progressive and physiological process associated with functional, structural, biochemical and psychological changes. Fear of falling is one of a consequence to fall. It is a major health problem among older people living in the communities who have and have not a history of falling. Researchers have reported that</w:t>
      </w:r>
      <w:r w:rsidRPr="008F41F7">
        <w:rPr>
          <w:rFonts w:ascii="Tw Cen MT" w:hAnsi="Tw Cen MT"/>
          <w:sz w:val="18"/>
          <w:szCs w:val="18"/>
        </w:rPr>
        <w:t xml:space="preserve"> </w:t>
      </w:r>
      <w:r w:rsidRPr="008F41F7">
        <w:rPr>
          <w:rFonts w:ascii="Tw Cen MT" w:hAnsi="Tw Cen MT" w:cs="Times New Roman"/>
          <w:sz w:val="18"/>
          <w:szCs w:val="18"/>
        </w:rPr>
        <w:t>old age, gender, poor vision, frailty, previous history of falls, lower levels of economic resources, poor health, decreased physical function or mobility, the presence of environmental hazards, decreased social contacts, and living alone, depression, anxiety are associated with fear of falling. If it is not treated early, it will lead to loss of confidence, reducing both physical and social activities/interaction, depression, loss of mobility and independence, risk of future falls and associated mortality, increased physical weakness, and the risk of nursing home admission. These consequences can have a negative impact on older people’s quality of life and economic burden on their families/ or caregivers. However, the impact of fear of falling has not been previously studied in Ethiopia. The purpose of this study is</w:t>
      </w:r>
      <w:r w:rsidRPr="008F41F7">
        <w:rPr>
          <w:rFonts w:ascii="Tw Cen MT" w:hAnsi="Tw Cen MT"/>
          <w:sz w:val="18"/>
          <w:szCs w:val="18"/>
        </w:rPr>
        <w:t xml:space="preserve"> </w:t>
      </w:r>
      <w:r w:rsidRPr="008F41F7">
        <w:rPr>
          <w:rFonts w:ascii="Tw Cen MT" w:hAnsi="Tw Cen MT" w:cs="Times New Roman"/>
          <w:sz w:val="18"/>
          <w:szCs w:val="18"/>
        </w:rPr>
        <w:t xml:space="preserve">to assess the prevalence and associated factors of fear of falling among older people living in the city of Bahir Dar, Ethiopia. Findings: The prevalence of fear of falling among the older people was. Fear of falling was significantly associated with advanced age, female, lower education level, anxiety, confirmed medical conditions and walking aids used. Conclusions: A moderate prevalence of fear of falling was observed. The major associated factors were advanced age, being female, lower educational level, anxiety, confirmed medical conditions and walking aids used. Recommendations are the need to plan and design appropriate fall and fear of falling preventive strategies, guidelines or policies for older people who have fear of falling.  </w:t>
      </w:r>
    </w:p>
    <w:p w14:paraId="6CB8BB4C" w14:textId="466109B2" w:rsidR="00AC4DFF" w:rsidRDefault="008F41F7" w:rsidP="00B35531">
      <w:pPr>
        <w:jc w:val="both"/>
        <w:rPr>
          <w:rFonts w:ascii="Times New Roman" w:hAnsi="Times New Roman" w:cs="Times New Roman"/>
          <w:b/>
          <w:bCs/>
          <w:color w:val="ED7D31" w:themeColor="accent2"/>
          <w:sz w:val="28"/>
          <w:szCs w:val="28"/>
        </w:rPr>
      </w:pPr>
      <w:r>
        <w:rPr>
          <w:rFonts w:ascii="Times New Roman" w:hAnsi="Times New Roman" w:cs="Times New Roman"/>
          <w:b/>
          <w:bCs/>
          <w:color w:val="ED7D31" w:themeColor="accent2"/>
          <w:sz w:val="28"/>
          <w:szCs w:val="28"/>
        </w:rPr>
        <w:t xml:space="preserve">                                                                                       </w:t>
      </w:r>
      <w:r w:rsidR="00AC4DFF" w:rsidRPr="00AC4DFF">
        <w:rPr>
          <w:rFonts w:ascii="Times New Roman" w:hAnsi="Times New Roman" w:cs="Times New Roman"/>
          <w:b/>
          <w:bCs/>
          <w:color w:val="ED7D31" w:themeColor="accent2"/>
          <w:sz w:val="28"/>
          <w:szCs w:val="28"/>
        </w:rPr>
        <w:t>Images</w:t>
      </w:r>
    </w:p>
    <w:tbl>
      <w:tblPr>
        <w:tblStyle w:val="TableGrid"/>
        <w:tblW w:w="0" w:type="auto"/>
        <w:tblInd w:w="3775" w:type="dxa"/>
        <w:tblLook w:val="04A0" w:firstRow="1" w:lastRow="0" w:firstColumn="1" w:lastColumn="0" w:noHBand="0" w:noVBand="1"/>
      </w:tblPr>
      <w:tblGrid>
        <w:gridCol w:w="5575"/>
      </w:tblGrid>
      <w:tr w:rsidR="008F41F7" w14:paraId="308412EE" w14:textId="77777777" w:rsidTr="008F41F7">
        <w:tc>
          <w:tcPr>
            <w:tcW w:w="5575" w:type="dxa"/>
          </w:tcPr>
          <w:p w14:paraId="2E91F581" w14:textId="63498B65" w:rsidR="008F41F7" w:rsidRDefault="008F41F7" w:rsidP="00B35531">
            <w:pPr>
              <w:jc w:val="both"/>
              <w:rPr>
                <w:rFonts w:ascii="Times New Roman" w:hAnsi="Times New Roman" w:cs="Times New Roman"/>
                <w:b/>
                <w:bCs/>
                <w:color w:val="ED7D31" w:themeColor="accent2"/>
                <w:sz w:val="28"/>
                <w:szCs w:val="28"/>
              </w:rPr>
            </w:pPr>
            <w:r>
              <w:rPr>
                <w:noProof/>
              </w:rPr>
              <w:drawing>
                <wp:inline distT="0" distB="0" distL="0" distR="0" wp14:anchorId="17759E13" wp14:editId="39C9074E">
                  <wp:extent cx="3514725" cy="208470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554951" cy="2108564"/>
                          </a:xfrm>
                          <a:prstGeom prst="rect">
                            <a:avLst/>
                          </a:prstGeom>
                        </pic:spPr>
                      </pic:pic>
                    </a:graphicData>
                  </a:graphic>
                </wp:inline>
              </w:drawing>
            </w:r>
          </w:p>
        </w:tc>
      </w:tr>
    </w:tbl>
    <w:p w14:paraId="180B1FE3" w14:textId="77777777" w:rsidR="008F41F7" w:rsidRDefault="008F41F7" w:rsidP="00B35531">
      <w:pPr>
        <w:jc w:val="both"/>
        <w:rPr>
          <w:rFonts w:ascii="Times New Roman" w:hAnsi="Times New Roman" w:cs="Times New Roman"/>
          <w:b/>
          <w:bCs/>
          <w:color w:val="ED7D31" w:themeColor="accent2"/>
          <w:sz w:val="28"/>
          <w:szCs w:val="28"/>
        </w:rPr>
      </w:pPr>
    </w:p>
    <w:p w14:paraId="27351DA3" w14:textId="77777777" w:rsidR="00D16ECE" w:rsidRDefault="00D16ECE"/>
    <w:sectPr w:rsidR="00D16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yriadPro-Regular">
    <w:altName w:val="Cambria"/>
    <w:panose1 w:val="00000000000000000000"/>
    <w:charset w:val="00"/>
    <w:family w:val="roman"/>
    <w:notTrueType/>
    <w:pitch w:val="default"/>
  </w:font>
  <w:font w:name="MyriadPro-Light">
    <w:altName w:val="Cambri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12C"/>
    <w:rsid w:val="000608DA"/>
    <w:rsid w:val="001E2E49"/>
    <w:rsid w:val="001F28E0"/>
    <w:rsid w:val="00322AC7"/>
    <w:rsid w:val="00335B9D"/>
    <w:rsid w:val="004763B4"/>
    <w:rsid w:val="005714D5"/>
    <w:rsid w:val="00573A7C"/>
    <w:rsid w:val="0060335B"/>
    <w:rsid w:val="0068707A"/>
    <w:rsid w:val="006B50C4"/>
    <w:rsid w:val="007A6DC9"/>
    <w:rsid w:val="00834963"/>
    <w:rsid w:val="008F41F7"/>
    <w:rsid w:val="00927FAC"/>
    <w:rsid w:val="00A52821"/>
    <w:rsid w:val="00A554B9"/>
    <w:rsid w:val="00AC4DFF"/>
    <w:rsid w:val="00B35531"/>
    <w:rsid w:val="00BA012C"/>
    <w:rsid w:val="00C06A40"/>
    <w:rsid w:val="00D16ECE"/>
    <w:rsid w:val="00D30EB0"/>
    <w:rsid w:val="00DA438E"/>
    <w:rsid w:val="00E53F26"/>
    <w:rsid w:val="00F20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5EDF"/>
  <w15:chartTrackingRefBased/>
  <w15:docId w15:val="{15269F10-A555-46C2-A279-E48113AF3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0335B"/>
    <w:rPr>
      <w:rFonts w:ascii="MyriadPro-Regular" w:hAnsi="MyriadPro-Regular" w:hint="default"/>
      <w:b w:val="0"/>
      <w:bCs w:val="0"/>
      <w:i w:val="0"/>
      <w:iCs w:val="0"/>
      <w:color w:val="000000"/>
      <w:sz w:val="48"/>
      <w:szCs w:val="48"/>
    </w:rPr>
  </w:style>
  <w:style w:type="character" w:customStyle="1" w:styleId="fontstyle21">
    <w:name w:val="fontstyle21"/>
    <w:basedOn w:val="DefaultParagraphFont"/>
    <w:rsid w:val="0060335B"/>
    <w:rPr>
      <w:rFonts w:ascii="MyriadPro-Light" w:hAnsi="MyriadPro-Light" w:hint="default"/>
      <w:b w:val="0"/>
      <w:bCs w:val="0"/>
      <w:i w:val="0"/>
      <w:iCs w:val="0"/>
      <w:color w:val="000000"/>
      <w:sz w:val="22"/>
      <w:szCs w:val="22"/>
    </w:rPr>
  </w:style>
  <w:style w:type="table" w:styleId="TableGrid">
    <w:name w:val="Table Grid"/>
    <w:basedOn w:val="TableNormal"/>
    <w:uiPriority w:val="39"/>
    <w:rsid w:val="008F4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YON-TECH</dc:creator>
  <cp:keywords/>
  <dc:description/>
  <cp:lastModifiedBy>YON-TECH</cp:lastModifiedBy>
  <cp:revision>23</cp:revision>
  <dcterms:created xsi:type="dcterms:W3CDTF">2021-11-29T16:44:00Z</dcterms:created>
  <dcterms:modified xsi:type="dcterms:W3CDTF">2021-11-29T17:35:00Z</dcterms:modified>
</cp:coreProperties>
</file>