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18A" w:rsidRDefault="0046218A" w:rsidP="0046218A">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71990" w:rsidRPr="00EA1A41">
        <w:rPr>
          <w:rStyle w:val="text-size-heading"/>
          <w:rFonts w:cstheme="minorHAnsi"/>
        </w:rPr>
        <w:t xml:space="preserve">Circular Economy: An Interdisciplinary </w:t>
      </w:r>
      <w:r w:rsidR="00671990" w:rsidRPr="00EA1A41">
        <w:rPr>
          <w:rFonts w:cstheme="minorHAnsi"/>
        </w:rPr>
        <w:t>Role of Universities</w:t>
      </w:r>
    </w:p>
    <w:p w:rsidR="0046218A" w:rsidRDefault="00671990" w:rsidP="0046218A">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Prof.</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Dr.</w:t>
      </w:r>
      <w:proofErr w:type="spellEnd"/>
      <w:r>
        <w:rPr>
          <w:rFonts w:ascii="Times New Roman" w:hAnsi="Times New Roman" w:cs="Times New Roman"/>
          <w:sz w:val="24"/>
          <w:u w:val="single"/>
        </w:rPr>
        <w:t xml:space="preserve"> Z. </w:t>
      </w:r>
      <w:proofErr w:type="spellStart"/>
      <w:r>
        <w:rPr>
          <w:rFonts w:ascii="Times New Roman" w:hAnsi="Times New Roman" w:cs="Times New Roman"/>
          <w:sz w:val="24"/>
          <w:u w:val="single"/>
        </w:rPr>
        <w:t>Stasiskiene</w:t>
      </w:r>
      <w:proofErr w:type="spellEnd"/>
    </w:p>
    <w:p w:rsidR="0046218A" w:rsidRDefault="0046218A" w:rsidP="0046218A">
      <w:pPr>
        <w:pStyle w:val="HTMLPreformatted"/>
        <w:rPr>
          <w:rFonts w:ascii="Times New Roman" w:hAnsi="Times New Roman" w:cs="Times New Roman"/>
          <w:i/>
          <w:iCs/>
          <w:sz w:val="24"/>
          <w:vertAlign w:val="superscript"/>
        </w:rPr>
      </w:pPr>
    </w:p>
    <w:p w:rsidR="0046218A" w:rsidRDefault="00671990" w:rsidP="0046218A">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Director of the Institute of Environmental Engineering, Kaunas University of Technology, LT</w:t>
      </w:r>
    </w:p>
    <w:p w:rsidR="0046218A" w:rsidRDefault="0046218A" w:rsidP="0046218A">
      <w:pPr>
        <w:pStyle w:val="HTMLPreformatted"/>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46218A" w:rsidRDefault="0046218A" w:rsidP="0046218A">
      <w:pPr>
        <w:pStyle w:val="HTMLPreformatted"/>
        <w:jc w:val="both"/>
        <w:rPr>
          <w:rFonts w:ascii="Times New Roman" w:hAnsi="Times New Roman" w:cs="Times New Roman"/>
          <w:sz w:val="24"/>
        </w:rPr>
      </w:pPr>
    </w:p>
    <w:p w:rsidR="00671990" w:rsidRPr="00EA1A41" w:rsidRDefault="00671990" w:rsidP="00671990">
      <w:pPr>
        <w:jc w:val="both"/>
        <w:rPr>
          <w:rFonts w:cstheme="minorHAnsi"/>
          <w:lang w:val="en-US"/>
        </w:rPr>
      </w:pPr>
      <w:r w:rsidRPr="00EA1A41">
        <w:rPr>
          <w:rFonts w:cstheme="minorHAnsi"/>
          <w:lang w:val="en-US"/>
        </w:rPr>
        <w:t>The Circular Economy represents the most recent attempt to conceptualize the integration of economic activity and environmental wellbeing in a sustainable way. The transition towards a circular economy is one of the biggest challenges in order to create a more sustainable society. This transition requires circular thinking and an interdisciplinary approach, combining socio-technical, managerial, and environmental considerations. As the centers for skills and knowledge, universities play a primary role in transferring circular economy approaches into reality, by applying a systems approach to the circular economy, considering different stakeholder perspectives, their incentive structures, and their impact on circular alternatives, therefore systems thinking is the most essential aspect of education for a circular economy.</w:t>
      </w:r>
    </w:p>
    <w:p w:rsidR="00671990" w:rsidRPr="00EA1A41" w:rsidRDefault="00671990" w:rsidP="00671990">
      <w:pPr>
        <w:jc w:val="both"/>
        <w:rPr>
          <w:rFonts w:cstheme="minorHAnsi"/>
          <w:lang w:val="en-US"/>
        </w:rPr>
      </w:pPr>
      <w:r w:rsidRPr="00EA1A41">
        <w:rPr>
          <w:rFonts w:cstheme="minorHAnsi"/>
          <w:lang w:val="en-US"/>
        </w:rPr>
        <w:t xml:space="preserve">Another important issue the potential effect on </w:t>
      </w:r>
      <w:hyperlink r:id="rId4" w:tooltip="Learn more about Climate Change" w:history="1">
        <w:r w:rsidRPr="00EA1A41">
          <w:rPr>
            <w:rFonts w:cstheme="minorHAnsi"/>
            <w:lang w:val="en-US"/>
          </w:rPr>
          <w:t>climate change</w:t>
        </w:r>
      </w:hyperlink>
      <w:r w:rsidRPr="00EA1A41">
        <w:rPr>
          <w:rFonts w:cstheme="minorHAnsi"/>
          <w:lang w:val="en-US"/>
        </w:rPr>
        <w:t xml:space="preserve"> of CE-strategies implemented on an urban scale: regeneration processes activate stable regimes of interaction and interdependence among the architectural, economic, cultural and social sub-systems in settlements. Therefore, to progress towards sustainable and inclusive cities, urban governance should widen the decision-making arena, promoting virtuous circular dynamics based on knowledge transfer, strategic decision making and stakeholders’ engagement.</w:t>
      </w:r>
    </w:p>
    <w:p w:rsidR="00671990" w:rsidRPr="00EA1A41" w:rsidRDefault="00671990" w:rsidP="00671990">
      <w:pPr>
        <w:jc w:val="both"/>
        <w:rPr>
          <w:rFonts w:cstheme="minorHAnsi"/>
          <w:lang w:val="en-US"/>
        </w:rPr>
      </w:pPr>
      <w:r w:rsidRPr="00EA1A41">
        <w:rPr>
          <w:rFonts w:cstheme="minorHAnsi"/>
          <w:lang w:val="en-US"/>
        </w:rPr>
        <w:t>Universities should support young people in recognizing the exciting opportunity that redesigning products, services, and systems have for the future; for exploring how their engagement with the world today impacts the future; and for supporting their decisions around future professions. The graduates of the universities should u</w:t>
      </w:r>
      <w:r w:rsidRPr="007A6591">
        <w:rPr>
          <w:rFonts w:cstheme="minorHAnsi"/>
          <w:lang w:val="en-US"/>
        </w:rPr>
        <w:t xml:space="preserve">nderstand which drivers and barriers exist in the development of a </w:t>
      </w:r>
      <w:hyperlink r:id="rId5" w:tooltip="Learn more about Circular Economy" w:history="1">
        <w:r w:rsidRPr="00EA1A41">
          <w:rPr>
            <w:rFonts w:cstheme="minorHAnsi"/>
            <w:lang w:val="en-US"/>
          </w:rPr>
          <w:t>circular economy</w:t>
        </w:r>
      </w:hyperlink>
      <w:r w:rsidRPr="007A6591">
        <w:rPr>
          <w:rFonts w:cstheme="minorHAnsi"/>
          <w:lang w:val="en-US"/>
        </w:rPr>
        <w:t xml:space="preserve"> (CE). </w:t>
      </w:r>
    </w:p>
    <w:p w:rsidR="00671990" w:rsidRPr="00EA1A41" w:rsidRDefault="00671990" w:rsidP="00671990">
      <w:pPr>
        <w:jc w:val="both"/>
        <w:rPr>
          <w:rFonts w:cstheme="minorHAnsi"/>
          <w:lang w:val="en-US"/>
        </w:rPr>
      </w:pPr>
      <w:r w:rsidRPr="007A6591">
        <w:rPr>
          <w:rFonts w:cstheme="minorHAnsi"/>
          <w:lang w:val="en-US"/>
        </w:rPr>
        <w:t>The aim of this paper is to contribute to this debate by analyzing evidence regarding the different factors helping and hampering the development of a CE. Specifically, this paper focuses on the eco-innovation (EI) pathway towards a CE, and tries to coordinate available but fra</w:t>
      </w:r>
      <w:r w:rsidRPr="00EA1A41">
        <w:rPr>
          <w:rFonts w:cstheme="minorHAnsi"/>
          <w:lang w:val="en-US"/>
        </w:rPr>
        <w:t xml:space="preserve">gmented findings regarding how integration of CE in all university programs </w:t>
      </w:r>
      <w:r w:rsidRPr="007A6591">
        <w:rPr>
          <w:rFonts w:cstheme="minorHAnsi"/>
          <w:lang w:val="en-US"/>
        </w:rPr>
        <w:t>can foster this transition while removing obstacles to sustainability</w:t>
      </w:r>
      <w:r w:rsidRPr="00EA1A41">
        <w:rPr>
          <w:rFonts w:cstheme="minorHAnsi"/>
          <w:lang w:val="en-US"/>
        </w:rPr>
        <w:t xml:space="preserve">. </w:t>
      </w:r>
    </w:p>
    <w:p w:rsidR="00671990" w:rsidRDefault="00671990"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671990" w:rsidRPr="00671990">
        <w:rPr>
          <w:rFonts w:asciiTheme="minorHAnsi" w:eastAsiaTheme="minorHAnsi" w:hAnsiTheme="minorHAnsi" w:cstheme="minorHAnsi"/>
          <w:sz w:val="22"/>
          <w:szCs w:val="22"/>
          <w:lang w:val="en-US"/>
        </w:rPr>
        <w:t xml:space="preserve"> </w:t>
      </w:r>
      <w:r w:rsidR="00671990" w:rsidRPr="00EA1A41">
        <w:rPr>
          <w:rFonts w:asciiTheme="minorHAnsi" w:eastAsiaTheme="minorHAnsi" w:hAnsiTheme="minorHAnsi" w:cstheme="minorHAnsi"/>
          <w:sz w:val="22"/>
          <w:szCs w:val="22"/>
          <w:lang w:val="en-US"/>
        </w:rPr>
        <w:t>Circular Economy</w:t>
      </w:r>
      <w:r w:rsidR="00671990">
        <w:rPr>
          <w:rFonts w:asciiTheme="minorHAnsi" w:eastAsiaTheme="minorHAnsi" w:hAnsiTheme="minorHAnsi" w:cstheme="minorHAnsi"/>
          <w:sz w:val="22"/>
          <w:szCs w:val="22"/>
          <w:lang w:val="en-US"/>
        </w:rPr>
        <w:t xml:space="preserve">, </w:t>
      </w:r>
      <w:r w:rsidR="00671990">
        <w:rPr>
          <w:rStyle w:val="text-size-heading"/>
          <w:rFonts w:asciiTheme="minorHAnsi" w:hAnsiTheme="minorHAnsi" w:cstheme="minorHAnsi"/>
          <w:sz w:val="22"/>
          <w:szCs w:val="22"/>
        </w:rPr>
        <w:t xml:space="preserve">Interdisciplinary Role, </w:t>
      </w:r>
      <w:r w:rsidR="00671990">
        <w:rPr>
          <w:rFonts w:asciiTheme="minorHAnsi" w:hAnsiTheme="minorHAnsi" w:cstheme="minorHAnsi"/>
          <w:sz w:val="22"/>
          <w:szCs w:val="22"/>
          <w:lang w:val="en-US"/>
        </w:rPr>
        <w:t>S</w:t>
      </w:r>
      <w:r w:rsidR="00671990" w:rsidRPr="00EA1A41">
        <w:rPr>
          <w:rFonts w:asciiTheme="minorHAnsi" w:hAnsiTheme="minorHAnsi" w:cstheme="minorHAnsi"/>
          <w:sz w:val="22"/>
          <w:szCs w:val="22"/>
          <w:lang w:val="en-US"/>
        </w:rPr>
        <w:t xml:space="preserve">ystems </w:t>
      </w:r>
      <w:r w:rsidR="00671990">
        <w:rPr>
          <w:rFonts w:asciiTheme="minorHAnsi" w:hAnsiTheme="minorHAnsi" w:cstheme="minorHAnsi"/>
          <w:sz w:val="22"/>
          <w:szCs w:val="22"/>
          <w:lang w:val="en-US"/>
        </w:rPr>
        <w:t>A</w:t>
      </w:r>
      <w:r w:rsidR="00671990" w:rsidRPr="00EA1A41">
        <w:rPr>
          <w:rFonts w:asciiTheme="minorHAnsi" w:hAnsiTheme="minorHAnsi" w:cstheme="minorHAnsi"/>
          <w:sz w:val="22"/>
          <w:szCs w:val="22"/>
          <w:lang w:val="en-US"/>
        </w:rPr>
        <w:t>pproach</w:t>
      </w:r>
      <w:r w:rsidR="00671990">
        <w:rPr>
          <w:rFonts w:ascii="Times New Roman" w:hAnsi="Times New Roman" w:cs="Times New Roman"/>
          <w:sz w:val="24"/>
        </w:rPr>
        <w:t xml:space="preserve">, </w:t>
      </w:r>
      <w:r w:rsidR="00671990">
        <w:rPr>
          <w:rStyle w:val="text-size-heading"/>
          <w:rFonts w:asciiTheme="minorHAnsi" w:hAnsiTheme="minorHAnsi" w:cstheme="minorHAnsi"/>
          <w:sz w:val="22"/>
          <w:szCs w:val="22"/>
        </w:rPr>
        <w:t>University Education</w:t>
      </w: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6218A" w:rsidRDefault="0046218A" w:rsidP="0046218A">
      <w:pPr>
        <w:pStyle w:val="HTMLPreformatted"/>
        <w:jc w:val="both"/>
        <w:rPr>
          <w:rFonts w:ascii="Times New Roman" w:hAnsi="Times New Roman" w:cs="Times New Roman"/>
          <w:b/>
          <w:iCs/>
          <w:sz w:val="24"/>
        </w:rPr>
      </w:pPr>
    </w:p>
    <w:p w:rsidR="00315B53" w:rsidRDefault="00315B53" w:rsidP="00315B53">
      <w:pPr>
        <w:jc w:val="both"/>
        <w:rPr>
          <w:rFonts w:ascii="Calibri" w:hAnsi="Calibri"/>
          <w:color w:val="1F497D"/>
          <w:lang w:val="lt-LT"/>
        </w:rPr>
      </w:pPr>
      <w:proofErr w:type="spellStart"/>
      <w:r>
        <w:rPr>
          <w:b/>
          <w:bCs/>
          <w:lang w:eastAsia="ja-JP"/>
        </w:rPr>
        <w:t>Prof.</w:t>
      </w:r>
      <w:proofErr w:type="spellEnd"/>
      <w:r>
        <w:rPr>
          <w:b/>
          <w:bCs/>
          <w:lang w:eastAsia="ja-JP"/>
        </w:rPr>
        <w:t xml:space="preserve"> </w:t>
      </w:r>
      <w:proofErr w:type="spellStart"/>
      <w:r>
        <w:rPr>
          <w:b/>
          <w:bCs/>
          <w:lang w:eastAsia="ja-JP"/>
        </w:rPr>
        <w:t>Dr.</w:t>
      </w:r>
      <w:proofErr w:type="spellEnd"/>
      <w:r>
        <w:rPr>
          <w:b/>
          <w:bCs/>
          <w:lang w:eastAsia="ja-JP"/>
        </w:rPr>
        <w:t xml:space="preserve"> </w:t>
      </w:r>
      <w:proofErr w:type="spellStart"/>
      <w:r>
        <w:rPr>
          <w:b/>
          <w:bCs/>
          <w:lang w:eastAsia="ja-JP"/>
        </w:rPr>
        <w:t>Zaneta</w:t>
      </w:r>
      <w:proofErr w:type="spellEnd"/>
      <w:r>
        <w:rPr>
          <w:b/>
          <w:bCs/>
          <w:lang w:eastAsia="ja-JP"/>
        </w:rPr>
        <w:t xml:space="preserve"> </w:t>
      </w:r>
      <w:proofErr w:type="spellStart"/>
      <w:r>
        <w:rPr>
          <w:b/>
          <w:bCs/>
          <w:lang w:eastAsia="ja-JP"/>
        </w:rPr>
        <w:t>Stasiskiene</w:t>
      </w:r>
      <w:proofErr w:type="spellEnd"/>
      <w:r>
        <w:rPr>
          <w:lang w:eastAsia="ja-JP"/>
        </w:rPr>
        <w:t xml:space="preserve"> - Director of the Institute of Environmental Engineering Kaunas University of Technology (KUT). Her experience under UNEP DTIE </w:t>
      </w:r>
      <w:proofErr w:type="gramStart"/>
      <w:r>
        <w:rPr>
          <w:lang w:eastAsia="ja-JP"/>
        </w:rPr>
        <w:t>was transferred</w:t>
      </w:r>
      <w:proofErr w:type="gramEnd"/>
      <w:r>
        <w:rPr>
          <w:lang w:eastAsia="ja-JP"/>
        </w:rPr>
        <w:t xml:space="preserve"> to Zimbabwe, Vietnam, Tanzania, Russia and covers areas of Sustainability assessment, sustainable innovation and development of </w:t>
      </w:r>
      <w:r>
        <w:rPr>
          <w:lang w:eastAsia="ja-JP"/>
        </w:rPr>
        <w:lastRenderedPageBreak/>
        <w:t xml:space="preserve">environmental project financing schemes, infrastructure activity plans for Spain, Central and Eastern Europe, South-East Africa, Asia Countries. Research Work: The leader of the Research Group on Sustainable Cities at KTU. Senior Researcher and Developer of tools and methodologies for Industrial Sustainability Assessment, Environmental Risk Management and Environmental Performance improvement in industry, Development and Implementation of Sustainable Business models. </w:t>
      </w:r>
      <w:proofErr w:type="spellStart"/>
      <w:proofErr w:type="gramStart"/>
      <w:r>
        <w:rPr>
          <w:lang w:eastAsia="ja-JP"/>
        </w:rPr>
        <w:t>Zaneta</w:t>
      </w:r>
      <w:proofErr w:type="spellEnd"/>
      <w:r>
        <w:rPr>
          <w:lang w:eastAsia="ja-JP"/>
        </w:rPr>
        <w:t xml:space="preserve"> is Leader of scientific group “Smart and sustainable cities” at Kaunas University of Technology (since 2015), Chairman and expert for Study programmes accreditation Lithuanian Centre for Quality Assessment in Higher Education (2014); Member of University Study Committee at Kaunas University of Technology (Since 2016); Member of Environmental Engineering PhD Committee at Kaunas University of Technology (since 2008); Expert Lithuanian Research Council (since 2014); Advisory Group Member Horizon2020 Advisory Group Member “Nanotechnologies, Advanced Materials, Biotechnology and Advanced Manufacturing and Processing” (since 2013); EUREKA high-level Technical Expert (since 2014); High-level Technical Expert of Lithuanian National Accreditation Bureau (since 2010).</w:t>
      </w:r>
      <w:proofErr w:type="gramEnd"/>
    </w:p>
    <w:p w:rsidR="0046218A" w:rsidRDefault="0046218A" w:rsidP="00315B53">
      <w:pPr>
        <w:pStyle w:val="HTMLPreformatted"/>
        <w:jc w:val="both"/>
        <w:rPr>
          <w:rFonts w:ascii="Times New Roman" w:hAnsi="Times New Roman" w:cs="Times New Roman"/>
          <w:iCs/>
          <w:sz w:val="24"/>
        </w:rPr>
      </w:pPr>
    </w:p>
    <w:p w:rsidR="0046218A" w:rsidRDefault="0046218A" w:rsidP="00315B53">
      <w:pPr>
        <w:pStyle w:val="HTMLPreformatted"/>
        <w:jc w:val="both"/>
        <w:rPr>
          <w:rFonts w:ascii="Times New Roman" w:hAnsi="Times New Roman" w:cs="Times New Roman"/>
          <w:iCs/>
          <w:sz w:val="24"/>
        </w:rPr>
      </w:pPr>
    </w:p>
    <w:p w:rsidR="0046218A" w:rsidRDefault="0046218A" w:rsidP="00315B53">
      <w:pPr>
        <w:pStyle w:val="HTMLPreformatted"/>
        <w:jc w:val="both"/>
        <w:rPr>
          <w:rFonts w:ascii="Times New Roman" w:hAnsi="Times New Roman" w:cs="Times New Roman"/>
          <w:iCs/>
          <w:sz w:val="24"/>
        </w:rPr>
      </w:pPr>
    </w:p>
    <w:p w:rsidR="0046218A" w:rsidRDefault="00671990" w:rsidP="0046218A">
      <w:pPr>
        <w:pStyle w:val="HTMLPreformatted"/>
        <w:jc w:val="both"/>
        <w:rPr>
          <w:rFonts w:ascii="Times New Roman" w:hAnsi="Times New Roman" w:cs="Times New Roman"/>
          <w:b/>
          <w:iCs/>
          <w:sz w:val="24"/>
        </w:rPr>
      </w:pPr>
      <w:r>
        <w:rPr>
          <w:rFonts w:ascii="Times New Roman" w:hAnsi="Times New Roman" w:cs="Times New Roman"/>
          <w:b/>
          <w:iCs/>
          <w:noProof/>
          <w:sz w:val="24"/>
          <w:lang w:val="lt-LT" w:eastAsia="lt-LT"/>
        </w:rPr>
        <w:drawing>
          <wp:inline distT="0" distB="0" distL="0" distR="0">
            <wp:extent cx="1143000" cy="10911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siskiene MITA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4615" cy="1092642"/>
                    </a:xfrm>
                    <a:prstGeom prst="rect">
                      <a:avLst/>
                    </a:prstGeom>
                  </pic:spPr>
                </pic:pic>
              </a:graphicData>
            </a:graphic>
          </wp:inline>
        </w:drawing>
      </w:r>
      <w:r w:rsidR="0046218A">
        <w:rPr>
          <w:rFonts w:ascii="Times New Roman" w:hAnsi="Times New Roman" w:cs="Times New Roman"/>
          <w:b/>
          <w:iCs/>
          <w:sz w:val="24"/>
        </w:rPr>
        <w:br/>
      </w:r>
    </w:p>
    <w:p w:rsidR="0046218A" w:rsidRDefault="0046218A" w:rsidP="0046218A">
      <w:pPr>
        <w:pStyle w:val="HTMLPreformatted"/>
        <w:jc w:val="both"/>
        <w:rPr>
          <w:rFonts w:ascii="Times New Roman" w:hAnsi="Times New Roman" w:cs="Times New Roman"/>
          <w:iCs/>
          <w:sz w:val="24"/>
        </w:rPr>
      </w:pPr>
      <w:bookmarkStart w:id="0" w:name="_GoBack"/>
      <w:bookmarkEnd w:id="0"/>
    </w:p>
    <w:p w:rsidR="0046218A" w:rsidRPr="00671990" w:rsidRDefault="0046218A" w:rsidP="00671990">
      <w:pPr>
        <w:pStyle w:val="HTMLPreformatted"/>
        <w:rPr>
          <w:rFonts w:ascii="Times New Roman" w:hAnsi="Times New Roman" w:cs="Times New Roman"/>
          <w:iCs/>
          <w:sz w:val="24"/>
          <w:lang w:val="en-US"/>
        </w:rPr>
      </w:pPr>
      <w:r>
        <w:rPr>
          <w:rFonts w:ascii="Times New Roman" w:hAnsi="Times New Roman" w:cs="Times New Roman"/>
          <w:iCs/>
          <w:sz w:val="24"/>
        </w:rPr>
        <w:t xml:space="preserve">Email Id: </w:t>
      </w:r>
      <w:proofErr w:type="spellStart"/>
      <w:r w:rsidR="00671990">
        <w:rPr>
          <w:rFonts w:ascii="Times New Roman" w:hAnsi="Times New Roman" w:cs="Times New Roman"/>
          <w:iCs/>
          <w:sz w:val="24"/>
        </w:rPr>
        <w:t>zaneta.stasiskiene</w:t>
      </w:r>
      <w:proofErr w:type="spellEnd"/>
      <w:r w:rsidR="00671990">
        <w:rPr>
          <w:rFonts w:ascii="Times New Roman" w:hAnsi="Times New Roman" w:cs="Times New Roman"/>
          <w:iCs/>
          <w:sz w:val="24"/>
          <w:lang w:val="en-US"/>
        </w:rPr>
        <w:t>@</w:t>
      </w:r>
      <w:proofErr w:type="spellStart"/>
      <w:r w:rsidR="00671990">
        <w:rPr>
          <w:rFonts w:ascii="Times New Roman" w:hAnsi="Times New Roman" w:cs="Times New Roman"/>
          <w:iCs/>
          <w:sz w:val="24"/>
          <w:lang w:val="en-US"/>
        </w:rPr>
        <w:t>ktu.lt</w:t>
      </w:r>
      <w:proofErr w:type="spellEnd"/>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sectPr w:rsidR="00462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2A5"/>
    <w:rsid w:val="00315B53"/>
    <w:rsid w:val="0046218A"/>
    <w:rsid w:val="00671990"/>
    <w:rsid w:val="006952A5"/>
    <w:rsid w:val="00F56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48DC4"/>
  <w15:docId w15:val="{8E691A9C-919A-472C-9F83-1EBEE1CB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character" w:customStyle="1" w:styleId="text-size-heading">
    <w:name w:val="text-size-heading"/>
    <w:basedOn w:val="DefaultParagraphFont"/>
    <w:rsid w:val="00671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346803">
      <w:bodyDiv w:val="1"/>
      <w:marLeft w:val="0"/>
      <w:marRight w:val="0"/>
      <w:marTop w:val="0"/>
      <w:marBottom w:val="0"/>
      <w:divBdr>
        <w:top w:val="none" w:sz="0" w:space="0" w:color="auto"/>
        <w:left w:val="none" w:sz="0" w:space="0" w:color="auto"/>
        <w:bottom w:val="none" w:sz="0" w:space="0" w:color="auto"/>
        <w:right w:val="none" w:sz="0" w:space="0" w:color="auto"/>
      </w:divBdr>
    </w:div>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sciencedirect.com/topics/earth-and-planetary-sciences/circular-economy" TargetMode="External"/><Relationship Id="rId4" Type="http://schemas.openxmlformats.org/officeDocument/2006/relationships/hyperlink" Target="https://www.sciencedirect.com/topics/engineering/climat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2794</Words>
  <Characters>1593</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Recycling 2018</dc:creator>
  <cp:keywords/>
  <dc:description/>
  <cp:lastModifiedBy>Žaneta Stasiškienė</cp:lastModifiedBy>
  <cp:revision>2</cp:revision>
  <dcterms:created xsi:type="dcterms:W3CDTF">2019-03-27T08:54:00Z</dcterms:created>
  <dcterms:modified xsi:type="dcterms:W3CDTF">2019-03-27T08:54:00Z</dcterms:modified>
</cp:coreProperties>
</file>