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74B7C5" w14:textId="5D22A7D7" w:rsidR="00F612BC" w:rsidRPr="00143EC4" w:rsidRDefault="00F612BC" w:rsidP="00F612BC">
      <w:pPr>
        <w:pStyle w:val="BodyText"/>
        <w:spacing w:before="73" w:line="198" w:lineRule="exact"/>
        <w:ind w:right="5987"/>
        <w:jc w:val="both"/>
        <w:rPr>
          <w:rFonts w:ascii="Arial"/>
          <w:b/>
          <w:bCs/>
          <w:color w:val="984806" w:themeColor="accent6" w:themeShade="80"/>
          <w:sz w:val="24"/>
          <w:szCs w:val="24"/>
        </w:rPr>
      </w:pPr>
      <w:r w:rsidRPr="00143EC4">
        <w:rPr>
          <w:rFonts w:ascii="Arial"/>
          <w:b/>
          <w:bCs/>
          <w:color w:val="984806" w:themeColor="accent6" w:themeShade="80"/>
          <w:sz w:val="24"/>
          <w:szCs w:val="24"/>
        </w:rPr>
        <w:t>Review of 1</w:t>
      </w:r>
      <w:r w:rsidRPr="00143EC4">
        <w:rPr>
          <w:rFonts w:ascii="Arial"/>
          <w:b/>
          <w:bCs/>
          <w:color w:val="984806" w:themeColor="accent6" w:themeShade="80"/>
          <w:sz w:val="24"/>
          <w:szCs w:val="24"/>
          <w:vertAlign w:val="superscript"/>
        </w:rPr>
        <w:t>st</w:t>
      </w:r>
      <w:r w:rsidRPr="00143EC4">
        <w:rPr>
          <w:rFonts w:ascii="Arial"/>
          <w:b/>
          <w:bCs/>
          <w:color w:val="984806" w:themeColor="accent6" w:themeShade="80"/>
          <w:sz w:val="24"/>
          <w:szCs w:val="24"/>
        </w:rPr>
        <w:t xml:space="preserve"> line Stereo-guided biopsies and rationale for transition to first line Vacuum-assisted</w:t>
      </w:r>
    </w:p>
    <w:p w14:paraId="413AABF2" w14:textId="77777777" w:rsidR="00F612BC" w:rsidRPr="00F612BC" w:rsidRDefault="00F612BC" w:rsidP="00F612BC">
      <w:pPr>
        <w:pStyle w:val="BodyText"/>
        <w:spacing w:before="73" w:line="198" w:lineRule="exact"/>
        <w:ind w:right="5987"/>
        <w:jc w:val="both"/>
        <w:rPr>
          <w:rFonts w:ascii="Arial"/>
          <w:color w:val="0F243E" w:themeColor="text2" w:themeShade="80"/>
          <w:sz w:val="24"/>
          <w:szCs w:val="24"/>
        </w:rPr>
      </w:pPr>
    </w:p>
    <w:p w14:paraId="11D48752" w14:textId="042288A4" w:rsidR="00F612BC" w:rsidRPr="00F612BC" w:rsidRDefault="00F612BC" w:rsidP="00F612BC">
      <w:pPr>
        <w:pStyle w:val="BodyText"/>
        <w:spacing w:before="73" w:line="198" w:lineRule="exact"/>
        <w:ind w:right="5987"/>
        <w:rPr>
          <w:rFonts w:ascii="Arial"/>
          <w:lang w:val="en-GB"/>
        </w:rPr>
      </w:pPr>
      <w:r w:rsidRPr="00F612BC">
        <w:rPr>
          <w:rFonts w:ascii="Arial"/>
          <w:lang w:val="en-GB"/>
        </w:rPr>
        <w:t>Dr Rupinder Rai</w:t>
      </w:r>
    </w:p>
    <w:p w14:paraId="1720C039" w14:textId="77777777" w:rsidR="00F612BC" w:rsidRDefault="00F612BC" w:rsidP="00F612BC">
      <w:pPr>
        <w:pStyle w:val="BodyText"/>
        <w:spacing w:before="73" w:line="198" w:lineRule="exact"/>
        <w:ind w:right="5987"/>
        <w:rPr>
          <w:rFonts w:ascii="Arial"/>
          <w:lang w:val="en-GB"/>
        </w:rPr>
      </w:pPr>
      <w:r w:rsidRPr="00F612BC">
        <w:rPr>
          <w:rFonts w:ascii="Arial"/>
          <w:lang w:val="en-GB"/>
        </w:rPr>
        <w:t>Dr Mohammed Musa</w:t>
      </w:r>
    </w:p>
    <w:p w14:paraId="3061D825" w14:textId="34ADBDD0" w:rsidR="00F612BC" w:rsidRDefault="00F612BC" w:rsidP="00F612BC">
      <w:pPr>
        <w:pStyle w:val="BodyText"/>
        <w:spacing w:before="73" w:line="198" w:lineRule="exact"/>
        <w:ind w:right="5987"/>
        <w:rPr>
          <w:rFonts w:ascii="Arial"/>
          <w:lang w:val="en-GB"/>
        </w:rPr>
      </w:pPr>
      <w:r w:rsidRPr="00F612BC">
        <w:rPr>
          <w:rFonts w:ascii="Arial"/>
          <w:lang w:val="en-GB"/>
        </w:rPr>
        <w:t>Dr Sahar Idris,</w:t>
      </w:r>
    </w:p>
    <w:p w14:paraId="21581ED2" w14:textId="5E7B0453" w:rsidR="00F612BC" w:rsidRPr="00F612BC" w:rsidRDefault="00F612BC" w:rsidP="00F612BC">
      <w:pPr>
        <w:pStyle w:val="BodyText"/>
        <w:spacing w:before="73" w:line="198" w:lineRule="exact"/>
        <w:ind w:right="5987"/>
        <w:rPr>
          <w:rFonts w:ascii="Arial"/>
          <w:lang w:val="en-GB"/>
        </w:rPr>
      </w:pPr>
      <w:r w:rsidRPr="00F612BC">
        <w:rPr>
          <w:rFonts w:ascii="Arial"/>
          <w:lang w:val="en-GB"/>
        </w:rPr>
        <w:t xml:space="preserve">Hannah Lewis, Toni Scalon, Asare Oforiwaa, Mary Gnanaseelan, Riham Fesehaye, Krooty Patel </w:t>
      </w:r>
    </w:p>
    <w:p w14:paraId="236E5443" w14:textId="77777777" w:rsidR="00AE3E37" w:rsidRDefault="00AE3E37">
      <w:pPr>
        <w:pStyle w:val="BodyText"/>
        <w:rPr>
          <w:rFonts w:ascii="Arial"/>
          <w:sz w:val="20"/>
        </w:rPr>
      </w:pPr>
    </w:p>
    <w:p w14:paraId="498D2222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6635029" w14:textId="1E1DFD26" w:rsidR="00AE3E37" w:rsidRPr="00143EC4" w:rsidRDefault="00A9710C">
      <w:pPr>
        <w:pStyle w:val="Heading3"/>
        <w:spacing w:before="147"/>
        <w:jc w:val="both"/>
        <w:rPr>
          <w:color w:val="984806" w:themeColor="accent6" w:themeShade="80"/>
        </w:rPr>
      </w:pPr>
      <w:r w:rsidRPr="00143EC4">
        <w:rPr>
          <w:color w:val="984806" w:themeColor="accent6" w:themeShade="80"/>
        </w:rPr>
        <w:t>Abstract</w:t>
      </w:r>
    </w:p>
    <w:p w14:paraId="37A1A9CA" w14:textId="77777777" w:rsidR="00F612BC" w:rsidRDefault="00F612BC" w:rsidP="00F612BC">
      <w:r>
        <w:t>Purpose / Learning objectives</w:t>
      </w:r>
    </w:p>
    <w:p w14:paraId="4FFB8844" w14:textId="77777777" w:rsidR="00F612BC" w:rsidRDefault="00F612BC" w:rsidP="00F612BC">
      <w:r>
        <w:t>Stereotactic 14G core needle biopsy (CNB) remains first line in our unit, whereas most UK screening units now use vacuum-assisted biopsy (VAB). We compared upgrade rates after first-line stereotactic CNB and VAB, and assessed whether lesion size predicts upgrade, to inform a possible switch to first-line VAB.</w:t>
      </w:r>
    </w:p>
    <w:p w14:paraId="7FA78964" w14:textId="77777777" w:rsidR="00F612BC" w:rsidRDefault="00F612BC" w:rsidP="00F612BC"/>
    <w:p w14:paraId="594EC8B9" w14:textId="77777777" w:rsidR="00F612BC" w:rsidRDefault="00F612BC" w:rsidP="00F612BC">
      <w:r>
        <w:t>Methods / Background</w:t>
      </w:r>
    </w:p>
    <w:p w14:paraId="3E7743BD" w14:textId="735DA356" w:rsidR="00F612BC" w:rsidRDefault="00F612BC" w:rsidP="00F612BC">
      <w:r>
        <w:t>We retrospectively reviewed Soliton and electronic patient records at UHCW, Warwick Hospital and George Eliot Hospital for all stereotactic biopsies between January and December 2024. First-line procedure and B category were compared with histology at subsequent VAB, vacuum-assisted excision (VAE) or surgery. Upgrade by lesion size was analyzed for calcification, architectural distortion (ASD) and mass using Fisher's exact test and ROC analysis.</w:t>
      </w:r>
    </w:p>
    <w:p w14:paraId="006E7E09" w14:textId="77777777" w:rsidR="00F612BC" w:rsidRDefault="00F612BC" w:rsidP="00F612BC"/>
    <w:p w14:paraId="29E5C09D" w14:textId="77777777" w:rsidR="00F612BC" w:rsidRDefault="00F612BC" w:rsidP="00F612BC">
      <w:r>
        <w:t>Results / Findings</w:t>
      </w:r>
    </w:p>
    <w:p w14:paraId="6E1B1A5B" w14:textId="77777777" w:rsidR="00F612BC" w:rsidRDefault="00F612BC" w:rsidP="00F612BC">
      <w:r>
        <w:t>Of 624 cases, 541 had histology available: 519 (95%) had first-line CNB and 22 (5%) VAB. Among lesions with subsequent sampling, upgrade occurred in 34% (55/161) after CNB versus 17% (2/12) after VAB, giving diagnostic accuracy of 66% versus 83%. For calcifications (n=106), lesions ≥21 mm were upgraded more often than smaller lesions (51% vs 27%; RR 1.9, p=0.011; AUC 0.61). Size did not predict upgrade in ASD (n=17; AUC 0.44) or mass (n=20; ≥15 mm 40% vs 13%, p=0.25).</w:t>
      </w:r>
    </w:p>
    <w:p w14:paraId="20CEF9CD" w14:textId="77777777" w:rsidR="00F612BC" w:rsidRDefault="00F612BC" w:rsidP="00F612BC"/>
    <w:p w14:paraId="3F51FC5F" w14:textId="77777777" w:rsidR="00F612BC" w:rsidRDefault="00F612BC" w:rsidP="00F612BC">
      <w:r>
        <w:t>Conclusion</w:t>
      </w:r>
    </w:p>
    <w:p w14:paraId="474BAC9E" w14:textId="77777777" w:rsidR="00F612BC" w:rsidRDefault="00F612BC" w:rsidP="00F612BC">
      <w:r>
        <w:t>First-line stereotactic VAB may offer better diagnostic performance than 14G CNB in our unit. Calcifications ≥20 mm carry about twice the upgrade risk of smaller lesions and make the strongest case for first-line VAB.</w:t>
      </w:r>
    </w:p>
    <w:p w14:paraId="3D29F6A6" w14:textId="77777777" w:rsidR="00F612BC" w:rsidRDefault="00F612BC" w:rsidP="00F612BC"/>
    <w:p w14:paraId="0DE82290" w14:textId="77777777" w:rsidR="00F612BC" w:rsidRDefault="00F612BC" w:rsidP="00F612BC">
      <w:r>
        <w:t>Limitations</w:t>
      </w:r>
    </w:p>
    <w:p w14:paraId="1D82A324" w14:textId="77777777" w:rsidR="00F612BC" w:rsidRDefault="00F612BC" w:rsidP="00F612BC">
      <w:r>
        <w:t>Retrospective design; small VAB cohort, as the unit is CNB-first; small ASD and mass subgroups; 83 cases excluded for missing histology.</w:t>
      </w:r>
    </w:p>
    <w:p w14:paraId="37B1767C" w14:textId="77777777" w:rsidR="00F612BC" w:rsidRDefault="00F612BC">
      <w:pPr>
        <w:pStyle w:val="Heading3"/>
        <w:spacing w:before="147"/>
        <w:jc w:val="both"/>
        <w:rPr>
          <w:color w:val="BF5A14"/>
        </w:rPr>
      </w:pPr>
    </w:p>
    <w:p w14:paraId="7DA10F2A" w14:textId="5691581A" w:rsidR="00F612BC" w:rsidRDefault="00BB626B">
      <w:pPr>
        <w:pStyle w:val="Heading3"/>
        <w:spacing w:before="147"/>
        <w:jc w:val="both"/>
      </w:pPr>
      <w:r>
        <w:t>Dr Mohammed Musa</w:t>
      </w:r>
    </w:p>
    <w:p w14:paraId="5BAE50E7" w14:textId="52C50A71" w:rsidR="00BB626B" w:rsidRDefault="00BB626B">
      <w:pPr>
        <w:pStyle w:val="Heading3"/>
        <w:spacing w:before="147"/>
        <w:jc w:val="both"/>
      </w:pPr>
      <w:r>
        <w:t>mbmmunada1@gmail.com</w:t>
      </w:r>
    </w:p>
    <w:p w14:paraId="0B2E788E" w14:textId="77777777"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 w:rsidRPr="00143EC4">
        <w:rPr>
          <w:color w:val="984806" w:themeColor="accent6" w:themeShade="80"/>
        </w:rPr>
        <w:t>Image</w:t>
      </w:r>
    </w:p>
    <w:p w14:paraId="13A2AC58" w14:textId="77777777" w:rsidR="00F612BC" w:rsidRDefault="00F612BC">
      <w:pPr>
        <w:pStyle w:val="Heading3"/>
        <w:spacing w:before="74"/>
      </w:pPr>
    </w:p>
    <w:p w14:paraId="10D39B4F" w14:textId="627508F9" w:rsidR="00AE3E37" w:rsidRDefault="00F612BC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3EE62DDF" wp14:editId="05F2C895">
            <wp:extent cx="3165475" cy="1378585"/>
            <wp:effectExtent l="0" t="0" r="0" b="5715"/>
            <wp:docPr id="1251109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10966" name="Picture 12511096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9D043" w14:textId="190A9CCA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33984070" w14:textId="77777777" w:rsidR="00AE3E37" w:rsidRDefault="00AE3E37">
      <w:pPr>
        <w:spacing w:line="200" w:lineRule="exact"/>
        <w:jc w:val="both"/>
      </w:pPr>
    </w:p>
    <w:p w14:paraId="05F7587E" w14:textId="77777777" w:rsidR="00F612BC" w:rsidRDefault="00F612BC">
      <w:pPr>
        <w:spacing w:line="200" w:lineRule="exact"/>
        <w:jc w:val="both"/>
      </w:pPr>
    </w:p>
    <w:p w14:paraId="19D6968B" w14:textId="77777777" w:rsidR="00F612BC" w:rsidRDefault="00F612BC">
      <w:pPr>
        <w:spacing w:line="200" w:lineRule="exact"/>
        <w:jc w:val="both"/>
      </w:pPr>
    </w:p>
    <w:p w14:paraId="0926E9AE" w14:textId="633C1EB9" w:rsidR="00F612BC" w:rsidRDefault="00F612BC">
      <w:pPr>
        <w:spacing w:line="200" w:lineRule="exact"/>
        <w:jc w:val="both"/>
        <w:rPr>
          <w:rFonts w:ascii="Calibri" w:hAnsi="Calibri"/>
        </w:rPr>
        <w:sectPr w:rsidR="00F612B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7D28D3DB" w14:textId="77777777" w:rsidR="00F612BC" w:rsidRDefault="00F612BC" w:rsidP="00F612BC">
      <w:pPr>
        <w:spacing w:before="92"/>
        <w:ind w:right="4234"/>
        <w:rPr>
          <w:rFonts w:ascii="Arial"/>
          <w:sz w:val="14"/>
        </w:rPr>
      </w:pPr>
    </w:p>
    <w:p w14:paraId="1C1A147E" w14:textId="77777777" w:rsidR="00F612BC" w:rsidRDefault="00F612BC" w:rsidP="00F612BC">
      <w:pPr>
        <w:spacing w:before="92"/>
        <w:ind w:right="4234"/>
        <w:rPr>
          <w:rFonts w:ascii="Arial"/>
          <w:sz w:val="14"/>
        </w:rPr>
      </w:pPr>
    </w:p>
    <w:p w14:paraId="62756339" w14:textId="77777777" w:rsidR="00F612BC" w:rsidRDefault="00F612BC" w:rsidP="00F612BC">
      <w:pPr>
        <w:spacing w:before="92"/>
        <w:ind w:right="4234"/>
        <w:rPr>
          <w:rFonts w:ascii="Arial"/>
          <w:sz w:val="14"/>
        </w:rPr>
      </w:pPr>
    </w:p>
    <w:p w14:paraId="5CC3DBDA" w14:textId="77777777" w:rsidR="00F612BC" w:rsidRDefault="00F612BC" w:rsidP="00F612BC">
      <w:pPr>
        <w:spacing w:before="92"/>
        <w:ind w:right="4234"/>
        <w:rPr>
          <w:rFonts w:ascii="Arial"/>
          <w:sz w:val="14"/>
        </w:rPr>
      </w:pPr>
    </w:p>
    <w:p w14:paraId="1274B04B" w14:textId="77777777" w:rsidR="00F612BC" w:rsidRDefault="00F612BC" w:rsidP="00F612BC">
      <w:pPr>
        <w:spacing w:before="92"/>
        <w:ind w:right="4234"/>
        <w:rPr>
          <w:rFonts w:ascii="Arial"/>
          <w:sz w:val="14"/>
        </w:rPr>
      </w:pPr>
    </w:p>
    <w:p w14:paraId="50DD234E" w14:textId="60D625CA" w:rsidR="00AE3E37" w:rsidRPr="00F612BC" w:rsidRDefault="00292ED9" w:rsidP="00F612BC">
      <w:pPr>
        <w:spacing w:before="92"/>
        <w:ind w:right="4234"/>
        <w:rPr>
          <w:rFonts w:ascii="Arial"/>
          <w:sz w:val="1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2DFE977" wp14:editId="330C259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AE3E37" w:rsidRPr="00F612B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FEEC0E" w14:textId="77777777" w:rsidR="00256B57" w:rsidRDefault="00256B57">
      <w:r>
        <w:separator/>
      </w:r>
    </w:p>
  </w:endnote>
  <w:endnote w:type="continuationSeparator" w:id="0">
    <w:p w14:paraId="0CA837DB" w14:textId="77777777" w:rsidR="00256B57" w:rsidRDefault="00256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08FAD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59C5AB0" wp14:editId="1A4FD96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E1030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63D015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9C5AB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14:paraId="4FE1030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63D015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454C2A7" wp14:editId="42BC3FE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860A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C4FD47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54C2A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616860A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C4FD47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AEC8CCF" wp14:editId="6FE2BFC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EEB95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849AF6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EC8CCF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53EEB95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849AF6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AE9BAD" w14:textId="77777777" w:rsidR="00256B57" w:rsidRDefault="00256B57">
      <w:r>
        <w:separator/>
      </w:r>
    </w:p>
  </w:footnote>
  <w:footnote w:type="continuationSeparator" w:id="0">
    <w:p w14:paraId="369B2475" w14:textId="77777777" w:rsidR="00256B57" w:rsidRDefault="00256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020E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16DF4EA" wp14:editId="12596A3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C34F71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6DF4E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14:paraId="18C34F71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B4C4BBF" wp14:editId="0902A5B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E13C91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5DD8D5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4C4BBF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14:paraId="72E13C91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5DD8D5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048184800">
    <w:abstractNumId w:val="0"/>
  </w:num>
  <w:num w:numId="2" w16cid:durableId="221600342">
    <w:abstractNumId w:val="1"/>
  </w:num>
  <w:num w:numId="3" w16cid:durableId="51761877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43EC4"/>
    <w:rsid w:val="001E763C"/>
    <w:rsid w:val="00256B57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7E729D"/>
    <w:rsid w:val="00873DF0"/>
    <w:rsid w:val="008756E6"/>
    <w:rsid w:val="009B2D44"/>
    <w:rsid w:val="00A07E82"/>
    <w:rsid w:val="00A9710C"/>
    <w:rsid w:val="00AE3E37"/>
    <w:rsid w:val="00B21A57"/>
    <w:rsid w:val="00BB626B"/>
    <w:rsid w:val="00C33602"/>
    <w:rsid w:val="00CD6F55"/>
    <w:rsid w:val="00D62425"/>
    <w:rsid w:val="00DE3104"/>
    <w:rsid w:val="00F41F0B"/>
    <w:rsid w:val="00F612BC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6524B"/>
  <w15:docId w15:val="{E326E94F-CEB9-A947-9031-5F2B52A1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301</Words>
  <Characters>1700</Characters>
  <Application>Microsoft Office Word</Application>
  <DocSecurity>0</DocSecurity>
  <Lines>73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Mohammed Musa</cp:lastModifiedBy>
  <cp:revision>6</cp:revision>
  <dcterms:created xsi:type="dcterms:W3CDTF">2016-08-31T13:10:00Z</dcterms:created>
  <dcterms:modified xsi:type="dcterms:W3CDTF">2026-09-26T19:54:00Z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