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87BDA" w14:textId="0D7F21E2" w:rsidR="00B44643" w:rsidRDefault="00B44643" w:rsidP="00B44643">
      <w:pPr>
        <w:pStyle w:val="BodyText"/>
        <w:spacing w:before="73" w:line="198" w:lineRule="exact"/>
        <w:ind w:left="100" w:right="5987"/>
        <w:rPr>
          <w:rFonts w:ascii="Arial"/>
        </w:rPr>
      </w:pPr>
      <w:r w:rsidRPr="00B44643">
        <w:rPr>
          <w:rFonts w:ascii="Arial"/>
          <w:noProof/>
        </w:rPr>
        <mc:AlternateContent>
          <mc:Choice Requires="wps">
            <w:drawing>
              <wp:anchor distT="45720" distB="45720" distL="114300" distR="114300" simplePos="0" relativeHeight="251660288" behindDoc="0" locked="0" layoutInCell="1" allowOverlap="1" wp14:anchorId="145CDC3D" wp14:editId="57A7E4FA">
                <wp:simplePos x="0" y="0"/>
                <wp:positionH relativeFrom="column">
                  <wp:posOffset>82550</wp:posOffset>
                </wp:positionH>
                <wp:positionV relativeFrom="paragraph">
                  <wp:posOffset>-342900</wp:posOffset>
                </wp:positionV>
                <wp:extent cx="68008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1404620"/>
                        </a:xfrm>
                        <a:prstGeom prst="rect">
                          <a:avLst/>
                        </a:prstGeom>
                        <a:noFill/>
                        <a:ln w="9525">
                          <a:noFill/>
                          <a:miter lim="800000"/>
                          <a:headEnd/>
                          <a:tailEnd/>
                        </a:ln>
                      </wps:spPr>
                      <wps:txbx>
                        <w:txbxContent>
                          <w:p w14:paraId="26B90BE0" w14:textId="48970395" w:rsidR="00B44643" w:rsidRPr="00B44643" w:rsidRDefault="004079C4">
                            <w:pPr>
                              <w:rPr>
                                <w:sz w:val="40"/>
                                <w:szCs w:val="40"/>
                              </w:rPr>
                            </w:pPr>
                            <w:r w:rsidRPr="004079C4">
                              <w:rPr>
                                <w:b/>
                                <w:bCs/>
                                <w:sz w:val="40"/>
                                <w:szCs w:val="40"/>
                                <w:u w:val="single"/>
                              </w:rPr>
                              <w:t>Imaging discordance in Community-Acquired Pneumonia: A case of CT detected, CXR-occult consolidation</w:t>
                            </w:r>
                            <w:r w:rsidRPr="004079C4">
                              <w:rPr>
                                <w:b/>
                                <w:bCs/>
                                <w:sz w:val="40"/>
                                <w:szCs w:val="40"/>
                              </w:rPr>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5CDC3D" id="_x0000_t202" coordsize="21600,21600" o:spt="202" path="m,l,21600r21600,l21600,xe">
                <v:stroke joinstyle="miter"/>
                <v:path gradientshapeok="t" o:connecttype="rect"/>
              </v:shapetype>
              <v:shape id="Text Box 2" o:spid="_x0000_s1026" type="#_x0000_t202" style="position:absolute;left:0;text-align:left;margin-left:6.5pt;margin-top:-27pt;width:535.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" filled="f" stroked="f">
                <v:textbox style="mso-fit-shape-to-text:t">
                  <w:txbxContent>
                    <w:p w14:paraId="26B90BE0" w14:textId="48970395" w:rsidR="00B44643" w:rsidRPr="00B44643" w:rsidRDefault="004079C4">
                      <w:pPr>
                        <w:rPr>
                          <w:sz w:val="40"/>
                          <w:szCs w:val="40"/>
                        </w:rPr>
                      </w:pPr>
                      <w:r w:rsidRPr="004079C4">
                        <w:rPr>
                          <w:b/>
                          <w:bCs/>
                          <w:sz w:val="40"/>
                          <w:szCs w:val="40"/>
                          <w:u w:val="single"/>
                        </w:rPr>
                        <w:t>Imaging discordance in Community-Acquired Pneumonia: A case of CT detected, CXR-occult consolidation</w:t>
                      </w:r>
                      <w:r w:rsidRPr="004079C4">
                        <w:rPr>
                          <w:b/>
                          <w:bCs/>
                          <w:sz w:val="40"/>
                          <w:szCs w:val="40"/>
                        </w:rPr>
                        <w:t> </w:t>
                      </w:r>
                    </w:p>
                  </w:txbxContent>
                </v:textbox>
                <w10:wrap type="square"/>
              </v:shape>
            </w:pict>
          </mc:Fallback>
        </mc:AlternateContent>
      </w:r>
    </w:p>
    <w:p w14:paraId="52A9FE66" w14:textId="15C3C076" w:rsidR="005973B9" w:rsidRDefault="0078738A" w:rsidP="00B44643">
      <w:pPr>
        <w:pStyle w:val="BodyText"/>
        <w:spacing w:before="73" w:line="198" w:lineRule="exact"/>
        <w:ind w:left="100" w:right="5987"/>
        <w:rPr>
          <w:rFonts w:ascii="Arial"/>
        </w:rPr>
      </w:pPr>
      <w:r>
        <w:rPr>
          <w:rFonts w:ascii="Arial"/>
        </w:rPr>
        <w:t xml:space="preserve">Dr </w:t>
      </w:r>
      <w:r w:rsidR="00B44643">
        <w:rPr>
          <w:rFonts w:ascii="Arial"/>
        </w:rPr>
        <w:t>Shruthi Shanmugaraj</w:t>
      </w:r>
    </w:p>
    <w:p w14:paraId="5E916140" w14:textId="77777777" w:rsidR="00AE3E37" w:rsidRDefault="00AE3E37">
      <w:pPr>
        <w:pStyle w:val="BodyText"/>
        <w:rPr>
          <w:rFonts w:ascii="Arial"/>
          <w:sz w:val="20"/>
        </w:rPr>
      </w:pPr>
    </w:p>
    <w:p w14:paraId="0A4CB80F" w14:textId="77777777" w:rsidR="00AE3E37" w:rsidRDefault="00AE3E37">
      <w:pPr>
        <w:pStyle w:val="BodyText"/>
        <w:spacing w:before="3"/>
        <w:rPr>
          <w:rFonts w:ascii="Arial"/>
          <w:sz w:val="21"/>
        </w:rPr>
      </w:pPr>
    </w:p>
    <w:p w14:paraId="3C3DC8D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94E3B64" w14:textId="51D6A6C1" w:rsidR="00AE3E37" w:rsidRDefault="00A9710C">
      <w:pPr>
        <w:pStyle w:val="Heading3"/>
        <w:spacing w:before="147"/>
        <w:jc w:val="both"/>
      </w:pPr>
      <w:r>
        <w:rPr>
          <w:color w:val="BF5A14"/>
        </w:rPr>
        <w:t>Abstract</w:t>
      </w:r>
      <w:r w:rsidR="00404E5B">
        <w:rPr>
          <w:color w:val="BF5A14"/>
        </w:rPr>
        <w:t xml:space="preserve"> </w:t>
      </w:r>
    </w:p>
    <w:p w14:paraId="415F3A1A" w14:textId="77777777" w:rsidR="004079C4" w:rsidRPr="004079C4" w:rsidRDefault="004079C4" w:rsidP="004079C4">
      <w:pPr>
        <w:pStyle w:val="BodyText"/>
        <w:spacing w:before="90" w:line="280" w:lineRule="auto"/>
        <w:jc w:val="both"/>
        <w:rPr>
          <w:b/>
          <w:bCs/>
        </w:rPr>
      </w:pPr>
      <w:r w:rsidRPr="004079C4">
        <w:rPr>
          <w:b/>
          <w:bCs/>
        </w:rPr>
        <w:t>Background</w:t>
      </w:r>
    </w:p>
    <w:p w14:paraId="77E60C4A" w14:textId="1BE23021" w:rsidR="004079C4" w:rsidRPr="004079C4" w:rsidRDefault="004079C4" w:rsidP="004079C4">
      <w:pPr>
        <w:pStyle w:val="BodyText"/>
        <w:spacing w:before="90" w:line="280" w:lineRule="auto"/>
        <w:jc w:val="both"/>
      </w:pPr>
      <w:r w:rsidRPr="004079C4">
        <w:t xml:space="preserve">Although community-acquired pneumonia (CAP) is primarily a clinical diagnosis, chest radiography (CXR) is routinely used in hospital practice. However, CXR has limited sensitivity for pulmonary opacities, with reported sensitivity of 43.5% and positive predictive value of 26.9% compared with CT. CXR-occult consolidation is well </w:t>
      </w:r>
      <w:proofErr w:type="spellStart"/>
      <w:r w:rsidRPr="004079C4">
        <w:t>recognised</w:t>
      </w:r>
      <w:proofErr w:type="spellEnd"/>
      <w:r w:rsidRPr="004079C4">
        <w:t xml:space="preserve">, with infiltrates potentially appearing 24–72 hours after presentation. Cross-sectional imaging may therefore be required when clinical findings and CXR are discordant. This case demonstrates CXR-occult consolidation and highlights the importance of </w:t>
      </w:r>
      <w:proofErr w:type="spellStart"/>
      <w:r w:rsidRPr="004079C4">
        <w:t>individualising</w:t>
      </w:r>
      <w:proofErr w:type="spellEnd"/>
      <w:r w:rsidRPr="004079C4">
        <w:t xml:space="preserve"> follow-up imaging.</w:t>
      </w:r>
      <w:r>
        <w:br/>
      </w:r>
    </w:p>
    <w:p w14:paraId="71B0A79A" w14:textId="4F5D1EE8" w:rsidR="004079C4" w:rsidRPr="004079C4" w:rsidRDefault="004079C4" w:rsidP="004079C4">
      <w:pPr>
        <w:pStyle w:val="BodyText"/>
        <w:spacing w:before="90" w:line="280" w:lineRule="auto"/>
        <w:jc w:val="both"/>
        <w:rPr>
          <w:b/>
          <w:bCs/>
        </w:rPr>
      </w:pPr>
      <w:r w:rsidRPr="004079C4">
        <w:rPr>
          <w:b/>
          <w:bCs/>
        </w:rPr>
        <w:t>Clinical case</w:t>
      </w:r>
    </w:p>
    <w:p w14:paraId="15D1386B" w14:textId="4277779C" w:rsidR="004079C4" w:rsidRDefault="004079C4" w:rsidP="004079C4">
      <w:pPr>
        <w:pStyle w:val="BodyText"/>
        <w:spacing w:before="90" w:line="280" w:lineRule="auto"/>
        <w:jc w:val="both"/>
      </w:pPr>
      <w:r w:rsidRPr="004079C4">
        <w:t xml:space="preserve">A 35-year-old man with limited smoking exposure presented with epigastric pain, coffee-ground emesis, rigors, pleuritic chest pain and </w:t>
      </w:r>
      <w:proofErr w:type="spellStart"/>
      <w:r w:rsidRPr="004079C4">
        <w:t>haemoptysis</w:t>
      </w:r>
      <w:proofErr w:type="spellEnd"/>
      <w:r w:rsidRPr="004079C4">
        <w:t xml:space="preserve">. He was febrile, tachycardic and </w:t>
      </w:r>
      <w:proofErr w:type="spellStart"/>
      <w:r w:rsidRPr="004079C4">
        <w:t>tachypnoeic</w:t>
      </w:r>
      <w:proofErr w:type="spellEnd"/>
      <w:r w:rsidRPr="004079C4">
        <w:t>, without focal chest findings. Initial CXR was largely unremarkable. With a Wells score of 5.5, CT pulmonary angiography (CTPA) was performed for suspected pulmonary embolism. Following further clinical deterioration requiring escalation of care, CTPA excluded pulmonary embolism but demonstrated left lower lobe consolidation and associated ground-glass opacification, consistent with CAP not visible on CXR. Despite significant clinical instability and CRP 415 mg/L, his CURB-65 score was 0. He improved with intravenous antibiotics and was discharged, with repeat CXR planned at six weeks.</w:t>
      </w:r>
    </w:p>
    <w:p w14:paraId="0068187A" w14:textId="77777777" w:rsidR="004079C4" w:rsidRPr="004079C4" w:rsidRDefault="004079C4" w:rsidP="004079C4">
      <w:pPr>
        <w:pStyle w:val="BodyText"/>
        <w:spacing w:before="90" w:line="280" w:lineRule="auto"/>
        <w:jc w:val="both"/>
      </w:pPr>
    </w:p>
    <w:p w14:paraId="1C22DD10" w14:textId="347FB67F" w:rsidR="004079C4" w:rsidRPr="004079C4" w:rsidRDefault="004079C4" w:rsidP="004079C4">
      <w:pPr>
        <w:pStyle w:val="BodyText"/>
        <w:spacing w:before="90" w:line="280" w:lineRule="auto"/>
        <w:jc w:val="both"/>
        <w:rPr>
          <w:b/>
          <w:bCs/>
        </w:rPr>
      </w:pPr>
      <w:r w:rsidRPr="004079C4">
        <w:rPr>
          <w:b/>
          <w:bCs/>
        </w:rPr>
        <w:t>Discussion</w:t>
      </w:r>
    </w:p>
    <w:p w14:paraId="64C9E2F1" w14:textId="78F1467E" w:rsidR="004079C4" w:rsidRPr="004079C4" w:rsidRDefault="004079C4" w:rsidP="004079C4">
      <w:pPr>
        <w:pStyle w:val="BodyText"/>
        <w:spacing w:before="90" w:line="280" w:lineRule="auto"/>
        <w:jc w:val="both"/>
      </w:pPr>
      <w:r w:rsidRPr="004079C4">
        <w:t>CXR-occult pneumonia may result from anatomical superimposition, including the diaphragm and cardiac silhouette, and its inferior contrast resolution compared with CT. The patient's predominantly gastrointestinal presentation and unremarkable CXR risked false reassurance despite significant respiratory disease. This illustrates how atypical symptomatology and imaging limitations can combine to obscure diagnosis.</w:t>
      </w:r>
    </w:p>
    <w:p w14:paraId="30141D4E" w14:textId="77777777" w:rsidR="004079C4" w:rsidRPr="004079C4" w:rsidRDefault="004079C4" w:rsidP="004079C4">
      <w:pPr>
        <w:pStyle w:val="BodyText"/>
        <w:spacing w:before="90" w:line="280" w:lineRule="auto"/>
        <w:jc w:val="both"/>
      </w:pPr>
      <w:r w:rsidRPr="004079C4">
        <w:t xml:space="preserve">The case also raises questions regarding follow-up imaging when pneumonia is CT-detected but CXR-occult. Follow-up CXR is generally considered to assess for underlying pathology, particularly in patients with persistent abnormalities or malignancy risk factors. Given this patient's young age, limited smoking exposure, clinical recovery and absence of consolidation on initial CXR, follow-up imaging could reasonably be </w:t>
      </w:r>
      <w:proofErr w:type="spellStart"/>
      <w:r w:rsidRPr="004079C4">
        <w:t>individualised</w:t>
      </w:r>
      <w:proofErr w:type="spellEnd"/>
      <w:r w:rsidRPr="004079C4">
        <w:t xml:space="preserve"> according to clinical context and risk rather than applied uniformly.</w:t>
      </w:r>
    </w:p>
    <w:p w14:paraId="0EB511E8" w14:textId="77777777" w:rsidR="004079C4" w:rsidRPr="004079C4" w:rsidRDefault="004079C4" w:rsidP="004079C4">
      <w:pPr>
        <w:pStyle w:val="BodyText"/>
        <w:spacing w:before="90" w:line="280" w:lineRule="auto"/>
        <w:jc w:val="both"/>
        <w:rPr>
          <w:b/>
          <w:bCs/>
        </w:rPr>
      </w:pPr>
    </w:p>
    <w:p w14:paraId="6E0ECC10" w14:textId="2288E621" w:rsidR="004079C4" w:rsidRPr="004079C4" w:rsidRDefault="004079C4" w:rsidP="004079C4">
      <w:pPr>
        <w:pStyle w:val="BodyText"/>
        <w:spacing w:before="90" w:line="280" w:lineRule="auto"/>
        <w:jc w:val="both"/>
        <w:rPr>
          <w:b/>
          <w:bCs/>
        </w:rPr>
      </w:pPr>
      <w:r w:rsidRPr="004079C4">
        <w:rPr>
          <w:b/>
          <w:bCs/>
        </w:rPr>
        <w:t>Conclusion</w:t>
      </w:r>
    </w:p>
    <w:p w14:paraId="786B7C36" w14:textId="48B77008" w:rsidR="00B44643" w:rsidRDefault="004079C4" w:rsidP="004079C4">
      <w:pPr>
        <w:pStyle w:val="BodyText"/>
        <w:spacing w:before="90" w:line="280" w:lineRule="auto"/>
        <w:jc w:val="both"/>
      </w:pPr>
      <w:r w:rsidRPr="004079C4">
        <w:t>This case reinforces the limitations of CXR and the importance of interpreting negative findings alongside clinical assessment. CT may reveal clinically significant pneumonia when CXR is normal or equivocal, particularly with persistent suspicion or deterioration. Follow-up imaging should similarly reflect individual risk factors,</w:t>
      </w:r>
      <w:r w:rsidRPr="004079C4">
        <w:rPr>
          <w:b/>
          <w:bCs/>
        </w:rPr>
        <w:t xml:space="preserve"> </w:t>
      </w:r>
      <w:r w:rsidRPr="004079C4">
        <w:t>clinical recovery and the modality demonstrating the original abnormality.</w:t>
      </w:r>
    </w:p>
    <w:p w14:paraId="7ADD2750" w14:textId="77777777" w:rsidR="00B44643" w:rsidRDefault="00B44643" w:rsidP="00B44643">
      <w:pPr>
        <w:pStyle w:val="BodyText"/>
        <w:spacing w:before="90" w:line="280" w:lineRule="auto"/>
        <w:jc w:val="both"/>
      </w:pPr>
    </w:p>
    <w:p w14:paraId="327D8D09" w14:textId="67E4C86D" w:rsidR="005973B9" w:rsidRPr="004079C4" w:rsidRDefault="00B44643" w:rsidP="004079C4">
      <w:pPr>
        <w:pStyle w:val="Heading3"/>
        <w:spacing w:before="74"/>
        <w:ind w:left="0"/>
      </w:pPr>
      <w:r>
        <w:rPr>
          <w:color w:val="BF5A14"/>
        </w:rPr>
        <w:t>References</w:t>
      </w:r>
      <w:r>
        <w:rPr>
          <w:color w:val="BF5A14"/>
        </w:rPr>
        <w:br/>
      </w:r>
    </w:p>
    <w:p w14:paraId="2DCD586F" w14:textId="59D3488C" w:rsidR="00B44643" w:rsidRDefault="004079C4" w:rsidP="00B44643">
      <w:pPr>
        <w:tabs>
          <w:tab w:val="left" w:pos="384"/>
        </w:tabs>
        <w:ind w:right="117"/>
        <w:rPr>
          <w:rFonts w:ascii="Calibri" w:eastAsia="Calibri" w:hAnsi="Calibri" w:cs="Calibri"/>
          <w:sz w:val="18"/>
        </w:rPr>
      </w:pPr>
      <w:r w:rsidRPr="004079C4">
        <w:rPr>
          <w:rFonts w:ascii="Calibri" w:eastAsia="Calibri" w:hAnsi="Calibri" w:cs="Calibri"/>
          <w:sz w:val="18"/>
        </w:rPr>
        <w:t xml:space="preserve">Self WH, Courtney DM, McNaughton CD, </w:t>
      </w:r>
      <w:proofErr w:type="spellStart"/>
      <w:r w:rsidRPr="004079C4">
        <w:rPr>
          <w:rFonts w:ascii="Calibri" w:eastAsia="Calibri" w:hAnsi="Calibri" w:cs="Calibri"/>
          <w:sz w:val="18"/>
        </w:rPr>
        <w:t>Wunderink</w:t>
      </w:r>
      <w:proofErr w:type="spellEnd"/>
      <w:r w:rsidRPr="004079C4">
        <w:rPr>
          <w:rFonts w:ascii="Calibri" w:eastAsia="Calibri" w:hAnsi="Calibri" w:cs="Calibri"/>
          <w:sz w:val="18"/>
        </w:rPr>
        <w:t xml:space="preserve"> RG, Kline JA. High discordance of chest x-ray and computed tomography for detection of pulmonary opacities in ED patients: implications for diagnosing pneumonia. American Journal of Emergency Medicine. 2013;31(2):401–405. doi:10.1016/j.ajem.2012.08.041.</w:t>
      </w:r>
    </w:p>
    <w:p w14:paraId="38344258" w14:textId="77777777" w:rsidR="004079C4" w:rsidRPr="00B44643" w:rsidRDefault="004079C4" w:rsidP="00B44643">
      <w:pPr>
        <w:tabs>
          <w:tab w:val="left" w:pos="384"/>
        </w:tabs>
        <w:ind w:right="117"/>
        <w:rPr>
          <w:rFonts w:ascii="Calibri" w:eastAsia="Calibri" w:hAnsi="Calibri" w:cs="Calibri"/>
          <w:sz w:val="18"/>
        </w:rPr>
      </w:pPr>
    </w:p>
    <w:p w14:paraId="0BAB74B8" w14:textId="1263C1BF" w:rsidR="00B44643" w:rsidRDefault="004079C4" w:rsidP="00B44643">
      <w:pPr>
        <w:tabs>
          <w:tab w:val="left" w:pos="384"/>
        </w:tabs>
        <w:ind w:right="117"/>
        <w:rPr>
          <w:rFonts w:ascii="Calibri" w:eastAsia="Calibri" w:hAnsi="Calibri" w:cs="Calibri"/>
          <w:sz w:val="18"/>
        </w:rPr>
      </w:pPr>
      <w:r w:rsidRPr="004079C4">
        <w:rPr>
          <w:rFonts w:ascii="Calibri" w:eastAsia="Calibri" w:hAnsi="Calibri" w:cs="Calibri"/>
          <w:sz w:val="18"/>
        </w:rPr>
        <w:t>Claessens YE, Debray MP, Tubach F, et al. Early chest computed tomography scan to assist diagnosis and improve outcome of patients with acute lower respiratory tract infection. Clinical Infectious Diseases. 2015;60(10):1435–1443.</w:t>
      </w:r>
    </w:p>
    <w:p w14:paraId="33DB188A" w14:textId="77777777" w:rsidR="004079C4" w:rsidRPr="00B44643" w:rsidRDefault="004079C4" w:rsidP="00B44643">
      <w:pPr>
        <w:tabs>
          <w:tab w:val="left" w:pos="384"/>
        </w:tabs>
        <w:ind w:right="117"/>
        <w:rPr>
          <w:rFonts w:ascii="Calibri" w:eastAsia="Calibri" w:hAnsi="Calibri" w:cs="Calibri"/>
          <w:sz w:val="18"/>
        </w:rPr>
      </w:pPr>
    </w:p>
    <w:p w14:paraId="3FD06166" w14:textId="2CC65514" w:rsidR="00B44643" w:rsidRDefault="004079C4" w:rsidP="00B44643">
      <w:pPr>
        <w:tabs>
          <w:tab w:val="left" w:pos="384"/>
        </w:tabs>
        <w:ind w:right="117"/>
        <w:rPr>
          <w:rFonts w:ascii="Calibri" w:eastAsia="Calibri" w:hAnsi="Calibri" w:cs="Calibri"/>
          <w:sz w:val="18"/>
        </w:rPr>
      </w:pPr>
      <w:r w:rsidRPr="004079C4">
        <w:rPr>
          <w:rFonts w:ascii="Calibri" w:eastAsia="Calibri" w:hAnsi="Calibri" w:cs="Calibri"/>
          <w:sz w:val="18"/>
        </w:rPr>
        <w:t>Niederman MS. Imaging for the Management of Community-Acquired Pneumonia: What to Do if the Chest Radiograph Is Clear. Chest. 2018;153(3):583–585. doi:10.1016/j.chest.2017.09.045</w:t>
      </w:r>
    </w:p>
    <w:p w14:paraId="493D7296" w14:textId="77777777" w:rsidR="004079C4" w:rsidRDefault="004079C4" w:rsidP="00B44643">
      <w:pPr>
        <w:tabs>
          <w:tab w:val="left" w:pos="384"/>
        </w:tabs>
        <w:ind w:right="117"/>
        <w:rPr>
          <w:rFonts w:ascii="Calibri" w:eastAsia="Calibri" w:hAnsi="Calibri" w:cs="Calibri"/>
          <w:sz w:val="18"/>
        </w:rPr>
      </w:pPr>
    </w:p>
    <w:p w14:paraId="1F517143" w14:textId="1FA921C8" w:rsidR="004079C4" w:rsidRDefault="004079C4" w:rsidP="00B44643">
      <w:pPr>
        <w:tabs>
          <w:tab w:val="left" w:pos="384"/>
        </w:tabs>
        <w:ind w:right="117"/>
        <w:rPr>
          <w:rFonts w:ascii="Calibri" w:eastAsia="Calibri" w:hAnsi="Calibri" w:cs="Calibri"/>
          <w:sz w:val="18"/>
        </w:rPr>
      </w:pPr>
      <w:r w:rsidRPr="004079C4">
        <w:rPr>
          <w:rFonts w:ascii="Calibri" w:eastAsia="Calibri" w:hAnsi="Calibri" w:cs="Calibri"/>
          <w:sz w:val="18"/>
        </w:rPr>
        <w:t>Lim WS, Baudouin SV, George RC, et al. BTS guidelines for the management of community acquired pneumonia in adults: update 2009. Thorax. 2009;64(Suppl 3):iii1–iii55. doi:10.1136/thx.2009.121434</w:t>
      </w:r>
    </w:p>
    <w:p w14:paraId="2808A61A" w14:textId="77777777" w:rsidR="004079C4" w:rsidRDefault="004079C4" w:rsidP="00B44643">
      <w:pPr>
        <w:tabs>
          <w:tab w:val="left" w:pos="384"/>
        </w:tabs>
        <w:ind w:right="117"/>
        <w:rPr>
          <w:rFonts w:ascii="Calibri" w:eastAsia="Calibri" w:hAnsi="Calibri" w:cs="Calibri"/>
          <w:sz w:val="18"/>
        </w:rPr>
      </w:pPr>
    </w:p>
    <w:p w14:paraId="156FB742" w14:textId="53BAA77F" w:rsidR="004079C4" w:rsidRPr="00B44643" w:rsidRDefault="004079C4" w:rsidP="00B44643">
      <w:pPr>
        <w:tabs>
          <w:tab w:val="left" w:pos="384"/>
        </w:tabs>
        <w:ind w:right="117"/>
        <w:rPr>
          <w:rFonts w:ascii="Calibri" w:eastAsia="Calibri" w:hAnsi="Calibri" w:cs="Calibri"/>
          <w:sz w:val="18"/>
        </w:rPr>
      </w:pPr>
      <w:r w:rsidRPr="004079C4">
        <w:rPr>
          <w:rFonts w:ascii="Calibri" w:eastAsia="Calibri" w:hAnsi="Calibri" w:cs="Calibri"/>
          <w:sz w:val="18"/>
        </w:rPr>
        <w:t>NICE. Pneumonia: diagnosis and management (NG250). London: National Institute for Health and Care Excellence; 2025</w:t>
      </w:r>
    </w:p>
    <w:p w14:paraId="6EF53347" w14:textId="77777777" w:rsidR="00B44643" w:rsidRDefault="00B44643" w:rsidP="00B44643">
      <w:pPr>
        <w:tabs>
          <w:tab w:val="left" w:pos="384"/>
        </w:tabs>
        <w:ind w:right="117"/>
        <w:rPr>
          <w:rFonts w:ascii="Calibri" w:eastAsia="Calibri" w:hAnsi="Calibri" w:cs="Calibri"/>
          <w:sz w:val="18"/>
        </w:rPr>
      </w:pPr>
    </w:p>
    <w:p w14:paraId="4517C99A" w14:textId="77777777" w:rsidR="004079C4" w:rsidRDefault="004079C4" w:rsidP="00B44643">
      <w:pPr>
        <w:tabs>
          <w:tab w:val="left" w:pos="384"/>
        </w:tabs>
        <w:ind w:right="117"/>
        <w:rPr>
          <w:rFonts w:ascii="Calibri" w:eastAsia="Calibri" w:hAnsi="Calibri" w:cs="Calibri"/>
          <w:sz w:val="18"/>
        </w:rPr>
      </w:pPr>
    </w:p>
    <w:p w14:paraId="15045D56" w14:textId="77777777" w:rsidR="004079C4" w:rsidRDefault="004079C4" w:rsidP="00B44643">
      <w:pPr>
        <w:tabs>
          <w:tab w:val="left" w:pos="384"/>
        </w:tabs>
        <w:ind w:right="117"/>
        <w:rPr>
          <w:rFonts w:ascii="Calibri" w:eastAsia="Calibri" w:hAnsi="Calibri" w:cs="Calibri"/>
          <w:sz w:val="18"/>
        </w:rPr>
      </w:pPr>
    </w:p>
    <w:p w14:paraId="5F461F8D" w14:textId="77777777" w:rsidR="004079C4" w:rsidRDefault="004079C4" w:rsidP="00B44643">
      <w:pPr>
        <w:tabs>
          <w:tab w:val="left" w:pos="384"/>
        </w:tabs>
        <w:ind w:right="117"/>
        <w:rPr>
          <w:rFonts w:ascii="Calibri" w:eastAsia="Calibri" w:hAnsi="Calibri" w:cs="Calibri"/>
          <w:sz w:val="18"/>
        </w:rPr>
      </w:pPr>
    </w:p>
    <w:p w14:paraId="3A2CA8D9" w14:textId="77777777" w:rsidR="004079C4" w:rsidRDefault="004079C4" w:rsidP="00B44643">
      <w:pPr>
        <w:tabs>
          <w:tab w:val="left" w:pos="384"/>
        </w:tabs>
        <w:ind w:right="117"/>
        <w:rPr>
          <w:rFonts w:ascii="Calibri" w:eastAsia="Calibri" w:hAnsi="Calibri" w:cs="Calibri"/>
          <w:sz w:val="18"/>
        </w:rPr>
      </w:pPr>
    </w:p>
    <w:p w14:paraId="35377471" w14:textId="77777777" w:rsidR="004079C4" w:rsidRDefault="004079C4" w:rsidP="00B44643">
      <w:pPr>
        <w:tabs>
          <w:tab w:val="left" w:pos="384"/>
        </w:tabs>
        <w:ind w:right="117"/>
        <w:rPr>
          <w:rFonts w:ascii="Calibri" w:eastAsia="Calibri" w:hAnsi="Calibri" w:cs="Calibri"/>
          <w:sz w:val="18"/>
        </w:rPr>
      </w:pPr>
    </w:p>
    <w:p w14:paraId="21AE88BE" w14:textId="77777777" w:rsidR="004079C4" w:rsidRDefault="004079C4" w:rsidP="00B44643">
      <w:pPr>
        <w:tabs>
          <w:tab w:val="left" w:pos="384"/>
        </w:tabs>
        <w:ind w:right="117"/>
        <w:rPr>
          <w:rFonts w:ascii="Calibri" w:eastAsia="Calibri" w:hAnsi="Calibri" w:cs="Calibri"/>
          <w:sz w:val="18"/>
        </w:rPr>
      </w:pPr>
    </w:p>
    <w:p w14:paraId="5A61206C" w14:textId="77777777" w:rsidR="004079C4" w:rsidRDefault="004079C4" w:rsidP="00B44643">
      <w:pPr>
        <w:tabs>
          <w:tab w:val="left" w:pos="384"/>
        </w:tabs>
        <w:ind w:right="117"/>
        <w:rPr>
          <w:rFonts w:ascii="Calibri" w:eastAsia="Calibri" w:hAnsi="Calibri" w:cs="Calibri"/>
          <w:sz w:val="18"/>
        </w:rPr>
      </w:pPr>
    </w:p>
    <w:p w14:paraId="4E1937FB" w14:textId="77777777" w:rsidR="004079C4" w:rsidRDefault="004079C4" w:rsidP="00B44643">
      <w:pPr>
        <w:tabs>
          <w:tab w:val="left" w:pos="384"/>
        </w:tabs>
        <w:ind w:right="117"/>
        <w:rPr>
          <w:rFonts w:ascii="Calibri" w:eastAsia="Calibri" w:hAnsi="Calibri" w:cs="Calibri"/>
          <w:sz w:val="18"/>
        </w:rPr>
      </w:pPr>
    </w:p>
    <w:p w14:paraId="724903CA" w14:textId="77777777" w:rsidR="004079C4" w:rsidRDefault="004079C4" w:rsidP="00B44643">
      <w:pPr>
        <w:tabs>
          <w:tab w:val="left" w:pos="384"/>
        </w:tabs>
        <w:ind w:right="117"/>
        <w:rPr>
          <w:rFonts w:ascii="Calibri" w:eastAsia="Calibri" w:hAnsi="Calibri" w:cs="Calibri"/>
          <w:sz w:val="18"/>
        </w:rPr>
      </w:pPr>
    </w:p>
    <w:p w14:paraId="435672D3" w14:textId="77777777" w:rsidR="004079C4" w:rsidRDefault="004079C4" w:rsidP="00B44643">
      <w:pPr>
        <w:tabs>
          <w:tab w:val="left" w:pos="384"/>
        </w:tabs>
        <w:ind w:right="117"/>
        <w:rPr>
          <w:rFonts w:ascii="Calibri" w:eastAsia="Calibri" w:hAnsi="Calibri" w:cs="Calibri"/>
          <w:sz w:val="18"/>
        </w:rPr>
      </w:pPr>
    </w:p>
    <w:p w14:paraId="5548B49D" w14:textId="77777777" w:rsidR="004079C4" w:rsidRDefault="004079C4" w:rsidP="00B44643">
      <w:pPr>
        <w:tabs>
          <w:tab w:val="left" w:pos="384"/>
        </w:tabs>
        <w:ind w:right="117"/>
        <w:rPr>
          <w:rFonts w:ascii="Calibri" w:eastAsia="Calibri" w:hAnsi="Calibri" w:cs="Calibri"/>
          <w:sz w:val="18"/>
        </w:rPr>
      </w:pPr>
    </w:p>
    <w:p w14:paraId="4EB53EFE" w14:textId="77777777" w:rsidR="004079C4" w:rsidRDefault="004079C4" w:rsidP="00B44643">
      <w:pPr>
        <w:tabs>
          <w:tab w:val="left" w:pos="384"/>
        </w:tabs>
        <w:ind w:right="117"/>
        <w:rPr>
          <w:rFonts w:ascii="Calibri" w:eastAsia="Calibri" w:hAnsi="Calibri" w:cs="Calibri"/>
          <w:sz w:val="18"/>
        </w:rPr>
      </w:pPr>
    </w:p>
    <w:p w14:paraId="686B59B0" w14:textId="77777777" w:rsidR="004079C4" w:rsidRDefault="004079C4" w:rsidP="00B44643">
      <w:pPr>
        <w:tabs>
          <w:tab w:val="left" w:pos="384"/>
        </w:tabs>
        <w:ind w:right="117"/>
        <w:rPr>
          <w:rFonts w:ascii="Calibri" w:eastAsia="Calibri" w:hAnsi="Calibri" w:cs="Calibri"/>
          <w:sz w:val="18"/>
        </w:rPr>
      </w:pPr>
    </w:p>
    <w:p w14:paraId="721454FA" w14:textId="77777777" w:rsidR="004079C4" w:rsidRDefault="004079C4" w:rsidP="00B44643">
      <w:pPr>
        <w:tabs>
          <w:tab w:val="left" w:pos="384"/>
        </w:tabs>
        <w:ind w:right="117"/>
        <w:rPr>
          <w:rFonts w:ascii="Calibri" w:eastAsia="Calibri" w:hAnsi="Calibri" w:cs="Calibri"/>
          <w:sz w:val="18"/>
        </w:rPr>
      </w:pPr>
    </w:p>
    <w:p w14:paraId="35CE178E" w14:textId="77777777" w:rsidR="004079C4" w:rsidRDefault="004079C4" w:rsidP="00B44643">
      <w:pPr>
        <w:tabs>
          <w:tab w:val="left" w:pos="384"/>
        </w:tabs>
        <w:ind w:right="117"/>
        <w:rPr>
          <w:rFonts w:ascii="Calibri" w:eastAsia="Calibri" w:hAnsi="Calibri" w:cs="Calibri"/>
          <w:sz w:val="18"/>
        </w:rPr>
      </w:pPr>
    </w:p>
    <w:p w14:paraId="13AD705F" w14:textId="77777777" w:rsidR="004079C4" w:rsidRDefault="004079C4" w:rsidP="00B44643">
      <w:pPr>
        <w:tabs>
          <w:tab w:val="left" w:pos="384"/>
        </w:tabs>
        <w:ind w:right="117"/>
        <w:rPr>
          <w:rFonts w:ascii="Calibri" w:eastAsia="Calibri" w:hAnsi="Calibri" w:cs="Calibri"/>
          <w:sz w:val="18"/>
        </w:rPr>
      </w:pPr>
    </w:p>
    <w:p w14:paraId="033B541C" w14:textId="77777777" w:rsidR="004079C4" w:rsidRDefault="004079C4" w:rsidP="00B44643">
      <w:pPr>
        <w:tabs>
          <w:tab w:val="left" w:pos="384"/>
        </w:tabs>
        <w:ind w:right="117"/>
        <w:rPr>
          <w:rFonts w:ascii="Calibri" w:eastAsia="Calibri" w:hAnsi="Calibri" w:cs="Calibri"/>
          <w:sz w:val="18"/>
        </w:rPr>
      </w:pPr>
    </w:p>
    <w:p w14:paraId="768943D6" w14:textId="77777777" w:rsidR="004079C4" w:rsidRDefault="004079C4" w:rsidP="00B44643">
      <w:pPr>
        <w:tabs>
          <w:tab w:val="left" w:pos="384"/>
        </w:tabs>
        <w:ind w:right="117"/>
        <w:rPr>
          <w:rFonts w:ascii="Calibri" w:eastAsia="Calibri" w:hAnsi="Calibri" w:cs="Calibri"/>
          <w:sz w:val="18"/>
        </w:rPr>
      </w:pPr>
    </w:p>
    <w:p w14:paraId="0E89D227" w14:textId="77777777" w:rsidR="004079C4" w:rsidRDefault="004079C4" w:rsidP="00B44643">
      <w:pPr>
        <w:tabs>
          <w:tab w:val="left" w:pos="384"/>
        </w:tabs>
        <w:ind w:right="117"/>
        <w:rPr>
          <w:rFonts w:ascii="Calibri" w:eastAsia="Calibri" w:hAnsi="Calibri" w:cs="Calibri"/>
          <w:sz w:val="18"/>
        </w:rPr>
      </w:pPr>
    </w:p>
    <w:p w14:paraId="0A288817" w14:textId="77777777" w:rsidR="004079C4" w:rsidRDefault="004079C4" w:rsidP="00B44643">
      <w:pPr>
        <w:tabs>
          <w:tab w:val="left" w:pos="384"/>
        </w:tabs>
        <w:ind w:right="117"/>
        <w:rPr>
          <w:rFonts w:ascii="Calibri" w:eastAsia="Calibri" w:hAnsi="Calibri" w:cs="Calibri"/>
          <w:sz w:val="18"/>
        </w:rPr>
      </w:pPr>
    </w:p>
    <w:p w14:paraId="351346EC" w14:textId="77777777" w:rsidR="004079C4" w:rsidRDefault="004079C4" w:rsidP="00B44643">
      <w:pPr>
        <w:tabs>
          <w:tab w:val="left" w:pos="384"/>
        </w:tabs>
        <w:ind w:right="117"/>
        <w:rPr>
          <w:rFonts w:ascii="Calibri" w:eastAsia="Calibri" w:hAnsi="Calibri" w:cs="Calibri"/>
          <w:sz w:val="18"/>
        </w:rPr>
      </w:pPr>
    </w:p>
    <w:p w14:paraId="414B107C" w14:textId="77777777" w:rsidR="004079C4" w:rsidRDefault="004079C4" w:rsidP="00B44643">
      <w:pPr>
        <w:tabs>
          <w:tab w:val="left" w:pos="384"/>
        </w:tabs>
        <w:ind w:right="117"/>
        <w:rPr>
          <w:rFonts w:ascii="Calibri" w:eastAsia="Calibri" w:hAnsi="Calibri" w:cs="Calibri"/>
          <w:sz w:val="18"/>
        </w:rPr>
      </w:pPr>
    </w:p>
    <w:p w14:paraId="3E0F4340" w14:textId="77777777" w:rsidR="004079C4" w:rsidRDefault="004079C4" w:rsidP="00B44643">
      <w:pPr>
        <w:tabs>
          <w:tab w:val="left" w:pos="384"/>
        </w:tabs>
        <w:ind w:right="117"/>
        <w:rPr>
          <w:rFonts w:ascii="Calibri" w:eastAsia="Calibri" w:hAnsi="Calibri" w:cs="Calibri"/>
          <w:sz w:val="18"/>
        </w:rPr>
      </w:pPr>
    </w:p>
    <w:p w14:paraId="41DA72C1" w14:textId="77777777" w:rsidR="004079C4" w:rsidRDefault="004079C4" w:rsidP="00B44643">
      <w:pPr>
        <w:tabs>
          <w:tab w:val="left" w:pos="384"/>
        </w:tabs>
        <w:ind w:right="117"/>
        <w:rPr>
          <w:rFonts w:ascii="Calibri" w:eastAsia="Calibri" w:hAnsi="Calibri" w:cs="Calibri"/>
          <w:sz w:val="18"/>
        </w:rPr>
      </w:pPr>
    </w:p>
    <w:p w14:paraId="32D6D182" w14:textId="77777777" w:rsidR="004079C4" w:rsidRDefault="004079C4" w:rsidP="00B44643">
      <w:pPr>
        <w:tabs>
          <w:tab w:val="left" w:pos="384"/>
        </w:tabs>
        <w:ind w:right="117"/>
        <w:rPr>
          <w:rFonts w:ascii="Calibri" w:eastAsia="Calibri" w:hAnsi="Calibri" w:cs="Calibri"/>
          <w:sz w:val="18"/>
        </w:rPr>
      </w:pPr>
    </w:p>
    <w:p w14:paraId="30F97F2A" w14:textId="77777777" w:rsidR="004079C4" w:rsidRDefault="004079C4" w:rsidP="00B44643">
      <w:pPr>
        <w:tabs>
          <w:tab w:val="left" w:pos="384"/>
        </w:tabs>
        <w:ind w:right="117"/>
        <w:rPr>
          <w:rFonts w:ascii="Calibri" w:eastAsia="Calibri" w:hAnsi="Calibri" w:cs="Calibri"/>
          <w:sz w:val="18"/>
        </w:rPr>
      </w:pPr>
    </w:p>
    <w:p w14:paraId="2E255009" w14:textId="77777777" w:rsidR="004079C4" w:rsidRDefault="004079C4" w:rsidP="00B44643">
      <w:pPr>
        <w:tabs>
          <w:tab w:val="left" w:pos="384"/>
        </w:tabs>
        <w:ind w:right="117"/>
        <w:rPr>
          <w:rFonts w:ascii="Calibri" w:eastAsia="Calibri" w:hAnsi="Calibri" w:cs="Calibri"/>
          <w:sz w:val="18"/>
        </w:rPr>
      </w:pPr>
    </w:p>
    <w:p w14:paraId="7E4A8754" w14:textId="77777777" w:rsidR="004079C4" w:rsidRDefault="004079C4" w:rsidP="00B44643">
      <w:pPr>
        <w:tabs>
          <w:tab w:val="left" w:pos="384"/>
        </w:tabs>
        <w:ind w:right="117"/>
        <w:rPr>
          <w:rFonts w:ascii="Calibri" w:eastAsia="Calibri" w:hAnsi="Calibri" w:cs="Calibri"/>
          <w:sz w:val="18"/>
        </w:rPr>
      </w:pPr>
    </w:p>
    <w:p w14:paraId="2690A579" w14:textId="77777777" w:rsidR="004079C4" w:rsidRDefault="004079C4" w:rsidP="00B44643">
      <w:pPr>
        <w:tabs>
          <w:tab w:val="left" w:pos="384"/>
        </w:tabs>
        <w:ind w:right="117"/>
        <w:rPr>
          <w:rFonts w:ascii="Calibri" w:eastAsia="Calibri" w:hAnsi="Calibri" w:cs="Calibri"/>
          <w:sz w:val="18"/>
        </w:rPr>
      </w:pPr>
    </w:p>
    <w:p w14:paraId="37932801" w14:textId="77777777" w:rsidR="004079C4" w:rsidRDefault="004079C4" w:rsidP="00B44643">
      <w:pPr>
        <w:tabs>
          <w:tab w:val="left" w:pos="384"/>
        </w:tabs>
        <w:ind w:right="117"/>
        <w:rPr>
          <w:rFonts w:ascii="Calibri" w:eastAsia="Calibri" w:hAnsi="Calibri" w:cs="Calibri"/>
          <w:sz w:val="18"/>
        </w:rPr>
      </w:pPr>
    </w:p>
    <w:p w14:paraId="7867CC85" w14:textId="77777777" w:rsidR="004079C4" w:rsidRDefault="004079C4" w:rsidP="00B44643">
      <w:pPr>
        <w:tabs>
          <w:tab w:val="left" w:pos="384"/>
        </w:tabs>
        <w:ind w:right="117"/>
        <w:rPr>
          <w:rFonts w:ascii="Calibri" w:eastAsia="Calibri" w:hAnsi="Calibri" w:cs="Calibri"/>
          <w:sz w:val="18"/>
        </w:rPr>
      </w:pPr>
    </w:p>
    <w:p w14:paraId="3991B5F6" w14:textId="77777777" w:rsidR="004079C4" w:rsidRDefault="004079C4" w:rsidP="00B44643">
      <w:pPr>
        <w:tabs>
          <w:tab w:val="left" w:pos="384"/>
        </w:tabs>
        <w:ind w:right="117"/>
        <w:rPr>
          <w:rFonts w:ascii="Calibri" w:eastAsia="Calibri" w:hAnsi="Calibri" w:cs="Calibri"/>
          <w:sz w:val="18"/>
        </w:rPr>
      </w:pPr>
    </w:p>
    <w:p w14:paraId="2E537B0E" w14:textId="77777777" w:rsidR="004079C4" w:rsidRDefault="004079C4" w:rsidP="00B44643">
      <w:pPr>
        <w:tabs>
          <w:tab w:val="left" w:pos="384"/>
        </w:tabs>
        <w:ind w:right="117"/>
        <w:rPr>
          <w:rFonts w:ascii="Calibri" w:eastAsia="Calibri" w:hAnsi="Calibri" w:cs="Calibri"/>
          <w:sz w:val="18"/>
        </w:rPr>
      </w:pPr>
    </w:p>
    <w:p w14:paraId="6E71AC6E" w14:textId="77777777" w:rsidR="004079C4" w:rsidRPr="00B44643" w:rsidRDefault="004079C4" w:rsidP="00B44643">
      <w:pPr>
        <w:tabs>
          <w:tab w:val="left" w:pos="384"/>
        </w:tabs>
        <w:ind w:right="117"/>
        <w:rPr>
          <w:rFonts w:ascii="Calibri" w:eastAsia="Calibri" w:hAnsi="Calibri" w:cs="Calibri"/>
          <w:sz w:val="18"/>
        </w:rPr>
      </w:pPr>
    </w:p>
    <w:p w14:paraId="5EA348C5" w14:textId="77777777" w:rsidR="00AE3E37" w:rsidRPr="008756E6" w:rsidRDefault="00AE3E37" w:rsidP="008756E6">
      <w:pPr>
        <w:tabs>
          <w:tab w:val="left" w:pos="384"/>
        </w:tabs>
        <w:ind w:right="117"/>
      </w:pPr>
    </w:p>
    <w:p w14:paraId="392B8AC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677CCA2" w14:textId="3B697EE9" w:rsidR="00AE3E37" w:rsidRPr="00D62425" w:rsidRDefault="00D62425">
      <w:pPr>
        <w:pStyle w:val="BodyText"/>
        <w:rPr>
          <w:rFonts w:ascii="Calibri"/>
          <w:b/>
          <w:sz w:val="20"/>
        </w:rPr>
      </w:pPr>
      <w:r>
        <w:rPr>
          <w:rFonts w:ascii="Calibri"/>
          <w:sz w:val="20"/>
        </w:rPr>
        <w:t xml:space="preserve">                 </w:t>
      </w:r>
    </w:p>
    <w:p w14:paraId="4CF2429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4B3CFAD" wp14:editId="0132DEB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C086C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7309156" w14:textId="0FB272D3" w:rsidR="00AC10B2" w:rsidRPr="00365BF8" w:rsidRDefault="008756E6" w:rsidP="00AC10B2">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(150 word limit)</w:t>
      </w:r>
    </w:p>
    <w:p w14:paraId="15E30512" w14:textId="4521900C" w:rsidR="00AC10B2" w:rsidRDefault="004079C4" w:rsidP="00404E5B">
      <w:pPr>
        <w:spacing w:before="92"/>
        <w:ind w:right="4234"/>
        <w:rPr>
          <w:rFonts w:ascii="Arial"/>
        </w:rPr>
      </w:pPr>
      <w:r w:rsidRPr="00B44643">
        <w:rPr>
          <w:rFonts w:ascii="Arial"/>
          <w:noProof/>
          <w:sz w:val="14"/>
        </w:rPr>
        <mc:AlternateContent>
          <mc:Choice Requires="wps">
            <w:drawing>
              <wp:anchor distT="45720" distB="45720" distL="114300" distR="114300" simplePos="0" relativeHeight="251658240" behindDoc="0" locked="0" layoutInCell="1" allowOverlap="1" wp14:anchorId="5E9ECBB9" wp14:editId="28DA86F4">
                <wp:simplePos x="0" y="0"/>
                <wp:positionH relativeFrom="column">
                  <wp:posOffset>539750</wp:posOffset>
                </wp:positionH>
                <wp:positionV relativeFrom="paragraph">
                  <wp:posOffset>191135</wp:posOffset>
                </wp:positionV>
                <wp:extent cx="6330950" cy="1404620"/>
                <wp:effectExtent l="0" t="0" r="12700" b="17780"/>
                <wp:wrapSquare wrapText="bothSides"/>
                <wp:docPr id="1975052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1404620"/>
                        </a:xfrm>
                        <a:prstGeom prst="rect">
                          <a:avLst/>
                        </a:prstGeom>
                        <a:solidFill>
                          <a:srgbClr val="FFFFFF"/>
                        </a:solidFill>
                        <a:ln w="9525">
                          <a:solidFill>
                            <a:srgbClr val="000000"/>
                          </a:solidFill>
                          <a:miter lim="800000"/>
                          <a:headEnd/>
                          <a:tailEnd/>
                        </a:ln>
                      </wps:spPr>
                      <wps:txbx>
                        <w:txbxContent>
                          <w:p w14:paraId="32E2B25D" w14:textId="001BA494" w:rsidR="004079C4" w:rsidRDefault="004079C4" w:rsidP="004079C4">
                            <w:pPr>
                              <w:rPr>
                                <w:lang w:val="en-GB"/>
                              </w:rPr>
                            </w:pPr>
                            <w:r w:rsidRPr="004079C4">
                              <w:rPr>
                                <w:lang w:val="en-GB"/>
                              </w:rPr>
                              <w:t>Dr Shruthi Shanmugaraj is a Foundation Year 3 doctor currently working in medical education, with a growing interest in radiolog</w:t>
                            </w:r>
                            <w:r>
                              <w:rPr>
                                <w:lang w:val="en-GB"/>
                              </w:rPr>
                              <w:t>y</w:t>
                            </w:r>
                            <w:r w:rsidRPr="004079C4">
                              <w:rPr>
                                <w:lang w:val="en-GB"/>
                              </w:rPr>
                              <w:t>. Her clinical training across multiple specialties has highlighted the importance of imaging in guiding clinical assessment, diagnostic reasoning, and patient management</w:t>
                            </w:r>
                            <w:r>
                              <w:rPr>
                                <w:lang w:val="en-GB"/>
                              </w:rPr>
                              <w:t xml:space="preserve">. </w:t>
                            </w:r>
                          </w:p>
                          <w:p w14:paraId="7CAACBCF" w14:textId="77777777" w:rsidR="004079C4" w:rsidRPr="004079C4" w:rsidRDefault="004079C4" w:rsidP="004079C4">
                            <w:pPr>
                              <w:rPr>
                                <w:lang w:val="en-GB"/>
                              </w:rPr>
                            </w:pPr>
                          </w:p>
                          <w:p w14:paraId="3DE161DE" w14:textId="77777777" w:rsidR="004079C4" w:rsidRPr="004079C4" w:rsidRDefault="004079C4" w:rsidP="004079C4">
                            <w:pPr>
                              <w:rPr>
                                <w:lang w:val="en-GB"/>
                              </w:rPr>
                            </w:pPr>
                            <w:r w:rsidRPr="004079C4">
                              <w:rPr>
                                <w:lang w:val="en-GB"/>
                              </w:rPr>
                              <w:t>She has experience in medical education, audit, and quality improvement, and is particularly interested in the interface between clinical practice and radiology. Her areas of interest include appropriate imaging utilisation, the quality of radiology referrals, and improving clinicians’ understanding and interpretation of diagnostic imaging.</w:t>
                            </w:r>
                          </w:p>
                          <w:p w14:paraId="0A745173" w14:textId="77777777" w:rsidR="004079C4" w:rsidRPr="004079C4" w:rsidRDefault="004079C4" w:rsidP="004079C4">
                            <w:pPr>
                              <w:rPr>
                                <w:lang w:val="en-GB"/>
                              </w:rPr>
                            </w:pPr>
                          </w:p>
                          <w:p w14:paraId="68F95076" w14:textId="2B656D6A" w:rsidR="00B44643" w:rsidRDefault="004079C4" w:rsidP="004079C4">
                            <w:r w:rsidRPr="004079C4">
                              <w:rPr>
                                <w:lang w:val="en-GB"/>
                              </w:rPr>
                              <w:t>She is keen to pursue further opportunities in radiology research and education, with a focus on promoting effective integration of imaging into clinical decision-making. She is particularly interested in developing radiological education for medical students and junior doctors and contributing to initiatives that support evidence-based imaging and high-quality patient care.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9ECBB9" id="_x0000_s1027" type="#_x0000_t202" style="position:absolute;margin-left:42.5pt;margin-top:15.05pt;width:498.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BU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eXWVrxb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">
                <v:textbox style="mso-fit-shape-to-text:t">
                  <w:txbxContent>
                    <w:p w14:paraId="32E2B25D" w14:textId="001BA494" w:rsidR="004079C4" w:rsidRDefault="004079C4" w:rsidP="004079C4">
                      <w:pPr>
                        <w:rPr>
                          <w:lang w:val="en-GB"/>
                        </w:rPr>
                      </w:pPr>
                      <w:r w:rsidRPr="004079C4">
                        <w:rPr>
                          <w:lang w:val="en-GB"/>
                        </w:rPr>
                        <w:t>Dr Shruthi Shanmugaraj is a Foundation Year 3 doctor currently working in medical education, with a growing interest in radiolog</w:t>
                      </w:r>
                      <w:r>
                        <w:rPr>
                          <w:lang w:val="en-GB"/>
                        </w:rPr>
                        <w:t>y</w:t>
                      </w:r>
                      <w:r w:rsidRPr="004079C4">
                        <w:rPr>
                          <w:lang w:val="en-GB"/>
                        </w:rPr>
                        <w:t>. Her clinical training across multiple specialties has highlighted the importance of imaging in guiding clinical assessment, diagnostic reasoning, and patient management</w:t>
                      </w:r>
                      <w:r>
                        <w:rPr>
                          <w:lang w:val="en-GB"/>
                        </w:rPr>
                        <w:t xml:space="preserve">. </w:t>
                      </w:r>
                    </w:p>
                    <w:p w14:paraId="7CAACBCF" w14:textId="77777777" w:rsidR="004079C4" w:rsidRPr="004079C4" w:rsidRDefault="004079C4" w:rsidP="004079C4">
                      <w:pPr>
                        <w:rPr>
                          <w:lang w:val="en-GB"/>
                        </w:rPr>
                      </w:pPr>
                    </w:p>
                    <w:p w14:paraId="3DE161DE" w14:textId="77777777" w:rsidR="004079C4" w:rsidRPr="004079C4" w:rsidRDefault="004079C4" w:rsidP="004079C4">
                      <w:pPr>
                        <w:rPr>
                          <w:lang w:val="en-GB"/>
                        </w:rPr>
                      </w:pPr>
                      <w:r w:rsidRPr="004079C4">
                        <w:rPr>
                          <w:lang w:val="en-GB"/>
                        </w:rPr>
                        <w:t>She has experience in medical education, audit, and quality improvement, and is particularly interested in the interface between clinical practice and radiology. Her areas of interest include appropriate imaging utilisation, the quality of radiology referrals, and improving clinicians’ understanding and interpretation of diagnostic imaging.</w:t>
                      </w:r>
                    </w:p>
                    <w:p w14:paraId="0A745173" w14:textId="77777777" w:rsidR="004079C4" w:rsidRPr="004079C4" w:rsidRDefault="004079C4" w:rsidP="004079C4">
                      <w:pPr>
                        <w:rPr>
                          <w:lang w:val="en-GB"/>
                        </w:rPr>
                      </w:pPr>
                    </w:p>
                    <w:p w14:paraId="68F95076" w14:textId="2B656D6A" w:rsidR="00B44643" w:rsidRDefault="004079C4" w:rsidP="004079C4">
                      <w:r w:rsidRPr="004079C4">
                        <w:rPr>
                          <w:lang w:val="en-GB"/>
                        </w:rPr>
                        <w:t>She is keen to pursue further opportunities in radiology research and education, with a focus on promoting effective integration of imaging into clinical decision-making. She is particularly interested in developing radiological education for medical students and junior doctors and contributing to initiatives that support evidence-based imaging and high-quality patient care.</w:t>
                      </w:r>
                    </w:p>
                  </w:txbxContent>
                </v:textbox>
                <w10:wrap type="square"/>
              </v:shape>
            </w:pict>
          </mc:Fallback>
        </mc:AlternateContent>
      </w:r>
    </w:p>
    <w:p w14:paraId="3226D281" w14:textId="5BED19CA" w:rsidR="00B44643" w:rsidRDefault="00B44643">
      <w:pPr>
        <w:spacing w:before="62"/>
        <w:ind w:left="4217" w:right="4235"/>
        <w:jc w:val="center"/>
        <w:rPr>
          <w:rFonts w:ascii="Arial"/>
          <w:sz w:val="14"/>
        </w:rPr>
      </w:pPr>
    </w:p>
    <w:p w14:paraId="7356ECE3" w14:textId="05A279A6" w:rsidR="00B44643" w:rsidRDefault="00B44643">
      <w:pPr>
        <w:spacing w:before="62"/>
        <w:ind w:left="4217" w:right="4235"/>
        <w:jc w:val="center"/>
        <w:rPr>
          <w:rFonts w:ascii="Arial"/>
          <w:sz w:val="14"/>
        </w:rPr>
      </w:pPr>
    </w:p>
    <w:p w14:paraId="6CC27313" w14:textId="7A9252C2" w:rsidR="00AE3E37" w:rsidRDefault="00A9710C">
      <w:pPr>
        <w:spacing w:before="62"/>
        <w:ind w:left="4217" w:right="4235"/>
        <w:jc w:val="center"/>
        <w:rPr>
          <w:rFonts w:ascii="Arial"/>
          <w:sz w:val="14"/>
        </w:rPr>
      </w:pPr>
      <w:r>
        <w:rPr>
          <w:rFonts w:ascii="Arial"/>
          <w:sz w:val="14"/>
        </w:rPr>
        <w:t xml:space="preserve">Email: </w:t>
      </w:r>
      <w:hyperlink r:id="rId9" w:history="1">
        <w:r w:rsidR="004079C4" w:rsidRPr="00783803">
          <w:rPr>
            <w:rStyle w:val="Hyperlink"/>
            <w:rFonts w:ascii="Arial"/>
            <w:sz w:val="14"/>
          </w:rPr>
          <w:t>drXXXXXXX@xxxshruthishan01@yahoo.com</w:t>
        </w:r>
      </w:hyperlink>
    </w:p>
    <w:p w14:paraId="7AC5885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796D52B" wp14:editId="107C9F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AEFB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70CC6A1" w14:textId="77777777" w:rsidR="00AE3E37" w:rsidRDefault="00AE3E37">
      <w:pPr>
        <w:pStyle w:val="BodyText"/>
        <w:rPr>
          <w:rFonts w:ascii="Arial"/>
          <w:sz w:val="20"/>
        </w:rPr>
      </w:pPr>
    </w:p>
    <w:p w14:paraId="102CD18D" w14:textId="77777777" w:rsidR="00AE3E37" w:rsidRDefault="00AE3E37">
      <w:pPr>
        <w:pStyle w:val="BodyText"/>
        <w:rPr>
          <w:rFonts w:ascii="Arial"/>
          <w:sz w:val="20"/>
        </w:rPr>
      </w:pPr>
    </w:p>
    <w:p w14:paraId="226FD781" w14:textId="77777777" w:rsidR="00AE3E37" w:rsidRDefault="00AE3E37">
      <w:pPr>
        <w:pStyle w:val="BodyText"/>
        <w:spacing w:before="7"/>
        <w:rPr>
          <w:rFonts w:ascii="Arial"/>
          <w:sz w:val="29"/>
        </w:rPr>
      </w:pPr>
    </w:p>
    <w:p w14:paraId="37AB3C11" w14:textId="77777777" w:rsidR="00AE3E37" w:rsidRPr="00B21A57" w:rsidRDefault="00A9710C">
      <w:pPr>
        <w:spacing w:before="39"/>
        <w:ind w:left="100"/>
        <w:rPr>
          <w:rFonts w:ascii="Minion Pro"/>
          <w:b/>
          <w:sz w:val="20"/>
        </w:rPr>
      </w:pPr>
      <w:r w:rsidRPr="00B21A57">
        <w:rPr>
          <w:rFonts w:ascii="Minion Pro"/>
          <w:b/>
          <w:sz w:val="20"/>
        </w:rPr>
        <w:t>Notes/Comments:</w:t>
      </w:r>
    </w:p>
    <w:p w14:paraId="3F2C279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BF8071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9D485" w14:textId="77777777" w:rsidR="00C26F1F" w:rsidRDefault="00C26F1F">
      <w:r>
        <w:separator/>
      </w:r>
    </w:p>
  </w:endnote>
  <w:endnote w:type="continuationSeparator" w:id="0">
    <w:p w14:paraId="11CC2B51" w14:textId="77777777" w:rsidR="00C26F1F" w:rsidRDefault="00C2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EEC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70F9ED5" wp14:editId="4D4D0DE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921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A773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0F9ED5"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374921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A773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01BE796" wp14:editId="6990189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F77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45859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BE796" 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16BF77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45859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80C5469" wp14:editId="6C0F2E2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22A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A71CF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C5469"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31D22A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A71CF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298A5" w14:textId="77777777" w:rsidR="00C26F1F" w:rsidRDefault="00C26F1F">
      <w:r>
        <w:separator/>
      </w:r>
    </w:p>
  </w:footnote>
  <w:footnote w:type="continuationSeparator" w:id="0">
    <w:p w14:paraId="41DDF630" w14:textId="77777777" w:rsidR="00C26F1F" w:rsidRDefault="00C26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4452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1D01E0E" wp14:editId="281DA02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CC3E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D01E0E"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0ACC3E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394EFCE" wp14:editId="53C065D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4C85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368B1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4EFC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3A74C85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368B1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72869671">
    <w:abstractNumId w:val="0"/>
  </w:num>
  <w:num w:numId="2" w16cid:durableId="1203984870">
    <w:abstractNumId w:val="1"/>
  </w:num>
  <w:num w:numId="3" w16cid:durableId="2641790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65BF8"/>
    <w:rsid w:val="003B76D9"/>
    <w:rsid w:val="00404E5B"/>
    <w:rsid w:val="004079C4"/>
    <w:rsid w:val="00414F7B"/>
    <w:rsid w:val="004355DC"/>
    <w:rsid w:val="004749B4"/>
    <w:rsid w:val="00494130"/>
    <w:rsid w:val="004F3523"/>
    <w:rsid w:val="005973B9"/>
    <w:rsid w:val="005B3A56"/>
    <w:rsid w:val="006060CE"/>
    <w:rsid w:val="0063497F"/>
    <w:rsid w:val="00770C67"/>
    <w:rsid w:val="0078738A"/>
    <w:rsid w:val="00873DF0"/>
    <w:rsid w:val="008756E6"/>
    <w:rsid w:val="009B221A"/>
    <w:rsid w:val="009B2D44"/>
    <w:rsid w:val="009E0A2B"/>
    <w:rsid w:val="00A07E82"/>
    <w:rsid w:val="00A9710C"/>
    <w:rsid w:val="00AB0DAB"/>
    <w:rsid w:val="00AC10B2"/>
    <w:rsid w:val="00AE3E37"/>
    <w:rsid w:val="00B21A57"/>
    <w:rsid w:val="00B44643"/>
    <w:rsid w:val="00C26F1F"/>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0D550"/>
  <w15:docId w15:val="{5A13404E-B6D1-457B-8D00-B9423E73F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70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rXXXXXXX@xxxshruthishan01@yaho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Shruthi Shanmugaraj (Staff)</cp:lastModifiedBy>
  <cp:revision>3</cp:revision>
  <dcterms:created xsi:type="dcterms:W3CDTF">2026-08-31T20:08:00Z</dcterms:created>
  <dcterms:modified xsi:type="dcterms:W3CDTF">2026-08-31T20:34:00Z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