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Imaging Pathway Analysis in Hyperacute Stroke Assessments at QEUH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Mohammed Alwaily, Cameron Brown, Xuya Huang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Background and Aims: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Faster reperfusion therapy in acute ischaemic stroke improves patient outcomes. Critical to this is timely brain imaging acquisition. Previous service evaluation at Queen Elizabeth University Hospital (QEUH) demonstrated that door-to-CT time (DCT) is significantly associated with door-to-needle time (DNT). We aimed to identify factors associated with DCT in pre-alerted stroke patients.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Methods: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StrokeApp was queried for pre-alerted cases assessed at QEUH between December 2025 and February 2026. Transfer cases (n=17) and those with booking data errors (n=6) were excluded, yielding 212 included cases. Admission time was verified via Trakcare records; first CT acquisition time was extracted from PACS. Data are presented as mean (SD) or median (IQR). Factors associated with DCT were assessed using Mann-Whitney or Kruskal-Wallis tests. Binary logistic regression modelling determined odds of DCT &lt;15 minutes, adjusted for pre-booking status, CT pre-request, ED location, age, sex, and admission NIHSS score.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Results: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Mean age was 70 (±16); 49% were female. Median admission NIHSS was 5 (2–12). Overall median DCT was 19 minutes (14–27). Pre-booking was achieved in 57% of cases and was associated with significantly shorter DCT (16 vs 21 mins, p&lt;0.001; OR 2.196, 95%CI 0.999–4.829, p=0.050). Pre-admission CT request was the strongest independent predictor of DCT &lt;15 minutes (OR 3.499, 95%CI 1.661–7.323, p&lt;0.001). Pre-booking alone, without CT pre-request, did not improve DCT (p=0.629).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Conclusions: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Pre-admission CT request is the key modifiable factor associated with faster DCT in pre-alerted stroke patients. Pre-booking alone is insufficient without an accompanying CT pre-request. Pathway improvements should target the gap between pre-alert, pre-booking, and pre-admission CT requesting.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2026-05-18T21:29:46.433Z</dcterms:created>
  <dcterms:modified xsi:type="dcterms:W3CDTF">2026-05-18T21:29:46.433Z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