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676FA" w14:textId="77777777" w:rsidR="00241AF4" w:rsidRPr="006D7613" w:rsidRDefault="00241AF4" w:rsidP="00241AF4">
      <w:pPr>
        <w:jc w:val="center"/>
        <w:rPr>
          <w:b/>
          <w:bCs/>
        </w:rPr>
      </w:pPr>
      <w:r w:rsidRPr="006D7613">
        <w:rPr>
          <w:b/>
          <w:bCs/>
        </w:rPr>
        <w:t>Correlating brain imaging findings with extracranial injuries to predict severity and outcomes in non-accidental injury (NAI)</w:t>
      </w:r>
    </w:p>
    <w:p w14:paraId="4D1CF8C4" w14:textId="4A122276" w:rsidR="005973B9" w:rsidRDefault="00241AF4" w:rsidP="005973B9">
      <w:pPr>
        <w:pStyle w:val="BodyText"/>
        <w:spacing w:before="73" w:line="198" w:lineRule="exact"/>
        <w:ind w:left="100" w:right="5987"/>
        <w:rPr>
          <w:rFonts w:ascii="Arial"/>
        </w:rPr>
      </w:pPr>
      <w:r>
        <w:rPr>
          <w:rFonts w:ascii="Arial"/>
        </w:rPr>
        <w:t>Dr Siti Hafeezah Binti Ramli,</w:t>
      </w:r>
    </w:p>
    <w:p w14:paraId="67A64156" w14:textId="3434E0E8" w:rsidR="00241AF4" w:rsidRDefault="00241AF4" w:rsidP="005973B9">
      <w:pPr>
        <w:pStyle w:val="BodyText"/>
        <w:spacing w:before="73" w:line="198" w:lineRule="exact"/>
        <w:ind w:left="100" w:right="5987"/>
        <w:rPr>
          <w:rFonts w:ascii="Arial"/>
        </w:rPr>
      </w:pPr>
      <w:r>
        <w:rPr>
          <w:rFonts w:ascii="Arial"/>
        </w:rPr>
        <w:t>BC Children</w:t>
      </w:r>
      <w:r>
        <w:rPr>
          <w:rFonts w:ascii="Arial"/>
        </w:rPr>
        <w:t>’</w:t>
      </w:r>
      <w:r>
        <w:rPr>
          <w:rFonts w:ascii="Arial"/>
        </w:rPr>
        <w:t xml:space="preserve">s </w:t>
      </w:r>
      <w:proofErr w:type="spellStart"/>
      <w:r>
        <w:rPr>
          <w:rFonts w:ascii="Arial"/>
        </w:rPr>
        <w:t>Hospital,Canada</w:t>
      </w:r>
      <w:proofErr w:type="spellEnd"/>
    </w:p>
    <w:p w14:paraId="6B8052C3" w14:textId="77777777" w:rsidR="00AE3E37" w:rsidRDefault="00AE3E37">
      <w:pPr>
        <w:pStyle w:val="BodyText"/>
        <w:rPr>
          <w:rFonts w:ascii="Arial"/>
          <w:sz w:val="20"/>
        </w:rPr>
      </w:pPr>
    </w:p>
    <w:p w14:paraId="34F401B2" w14:textId="77777777" w:rsidR="00AE3E37" w:rsidRDefault="00AE3E37">
      <w:pPr>
        <w:pStyle w:val="BodyText"/>
        <w:spacing w:before="3"/>
        <w:rPr>
          <w:rFonts w:ascii="Arial"/>
          <w:sz w:val="21"/>
        </w:rPr>
      </w:pPr>
    </w:p>
    <w:p w14:paraId="0FF1D11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AEE7D59" w14:textId="77777777" w:rsidR="00AE3E37" w:rsidRDefault="00A9710C">
      <w:pPr>
        <w:pStyle w:val="Heading3"/>
        <w:spacing w:before="147"/>
        <w:jc w:val="both"/>
      </w:pPr>
      <w:r>
        <w:rPr>
          <w:color w:val="BF5A14"/>
        </w:rPr>
        <w:t>Abstract</w:t>
      </w:r>
      <w:r w:rsidR="00404E5B">
        <w:rPr>
          <w:color w:val="BF5A14"/>
        </w:rPr>
        <w:t xml:space="preserve"> (300 word limit)</w:t>
      </w:r>
    </w:p>
    <w:p w14:paraId="7EEC1DFC" w14:textId="77777777" w:rsidR="00241AF4" w:rsidRPr="00241AF4" w:rsidRDefault="00241AF4" w:rsidP="00241AF4">
      <w:pPr>
        <w:pStyle w:val="Heading3"/>
        <w:spacing w:before="74"/>
        <w:rPr>
          <w:b w:val="0"/>
          <w:bCs w:val="0"/>
          <w:sz w:val="18"/>
          <w:szCs w:val="18"/>
        </w:rPr>
      </w:pPr>
      <w:r w:rsidRPr="00241AF4">
        <w:rPr>
          <w:b w:val="0"/>
          <w:bCs w:val="0"/>
          <w:sz w:val="18"/>
          <w:szCs w:val="18"/>
        </w:rPr>
        <w:t>Background:</w:t>
      </w:r>
      <w:r w:rsidRPr="00241AF4">
        <w:rPr>
          <w:b w:val="0"/>
          <w:bCs w:val="0"/>
          <w:sz w:val="18"/>
          <w:szCs w:val="18"/>
        </w:rPr>
        <w:br/>
        <w:t>Abusive head trauma (AHT) is associated with substantial neurological morbidity and mortality, including developmental delay, epilepsy, severe disability, and death. Prognostic neuroimaging markers in affected children remain incompletely characterized. This study aimed to evaluate the utility of neuroimaging and extracranial injury findings in non-accidental injury (NAI) for predicting neurodevelopmental outcomes, identify injury clusters specific to AHT, and determine the prognostic significance of hypoxic–ischemic encephalopathy (HIE).</w:t>
      </w:r>
    </w:p>
    <w:p w14:paraId="434749C1" w14:textId="77777777" w:rsidR="00241AF4" w:rsidRPr="00241AF4" w:rsidRDefault="00241AF4" w:rsidP="00241AF4">
      <w:pPr>
        <w:pStyle w:val="Heading3"/>
        <w:spacing w:before="74"/>
        <w:rPr>
          <w:b w:val="0"/>
          <w:bCs w:val="0"/>
          <w:sz w:val="18"/>
          <w:szCs w:val="18"/>
        </w:rPr>
      </w:pPr>
      <w:r w:rsidRPr="00241AF4">
        <w:rPr>
          <w:b w:val="0"/>
          <w:bCs w:val="0"/>
          <w:sz w:val="18"/>
          <w:szCs w:val="18"/>
        </w:rPr>
        <w:t>Methods:</w:t>
      </w:r>
      <w:r w:rsidRPr="00241AF4">
        <w:rPr>
          <w:b w:val="0"/>
          <w:bCs w:val="0"/>
          <w:sz w:val="18"/>
          <w:szCs w:val="18"/>
        </w:rPr>
        <w:br/>
        <w:t xml:space="preserve">Following institutional review board approval (H25-03428), this retrospective single-center study included children diagnosed with NAI through multidisciplinary consensus between January 2019 and December 2024. Demographic, clinical, neuroimaging (CT/MRI), and outcome data were extracted from electronic medical records. Associations between imaging findings and neurological outcomes were analyzed using Fisher’s exact test, while the Mann–Whitney U test compared Glasgow Coma Scale scores between patients with and without HIE. Statistical significance was defined as </w:t>
      </w:r>
      <w:r w:rsidRPr="00241AF4">
        <w:rPr>
          <w:b w:val="0"/>
          <w:bCs w:val="0"/>
          <w:i/>
          <w:iCs/>
          <w:sz w:val="18"/>
          <w:szCs w:val="18"/>
        </w:rPr>
        <w:t>p</w:t>
      </w:r>
      <w:r w:rsidRPr="00241AF4">
        <w:rPr>
          <w:b w:val="0"/>
          <w:bCs w:val="0"/>
          <w:sz w:val="18"/>
          <w:szCs w:val="18"/>
        </w:rPr>
        <w:t xml:space="preserve"> &lt; 0.05.</w:t>
      </w:r>
    </w:p>
    <w:p w14:paraId="20E538AC" w14:textId="77777777" w:rsidR="00241AF4" w:rsidRPr="00241AF4" w:rsidRDefault="00241AF4" w:rsidP="00241AF4">
      <w:pPr>
        <w:pStyle w:val="Heading3"/>
        <w:spacing w:before="74"/>
        <w:rPr>
          <w:b w:val="0"/>
          <w:bCs w:val="0"/>
          <w:sz w:val="18"/>
          <w:szCs w:val="18"/>
        </w:rPr>
      </w:pPr>
      <w:r w:rsidRPr="00241AF4">
        <w:rPr>
          <w:b w:val="0"/>
          <w:bCs w:val="0"/>
          <w:sz w:val="18"/>
          <w:szCs w:val="18"/>
        </w:rPr>
        <w:t>Results:</w:t>
      </w:r>
      <w:r w:rsidRPr="00241AF4">
        <w:rPr>
          <w:b w:val="0"/>
          <w:bCs w:val="0"/>
          <w:sz w:val="18"/>
          <w:szCs w:val="18"/>
        </w:rPr>
        <w:br/>
        <w:t>Fifty-nine patients were included; 83.1% were aged ≤2 years and 67.8% were male. Neuroimaging abnormalities were identified in 47.5% (n=28). Subdural hemorrhage (SDH) was the most common finding (75%), predominantly bilateral (81%). Additional abnormalities included parenchymal injury (53.6%), infarction/ischemia (46.4%), HIE (32.1%), cerebral edema (32.1%), cortical vein injury (25%), and intraventricular or subarachnoid hemorrhage. Skeletal injuries were present in 42.4% of patients. Adverse neurological outcomes occurred in 39.3% of patients with positive imaging. HIE, intraventricular or subarachnoid hemorrhage, infarction/ischemia, cerebral edema, and parenchymal injury were significantly associated with poor outcomes (</w:t>
      </w:r>
      <w:r w:rsidRPr="00241AF4">
        <w:rPr>
          <w:b w:val="0"/>
          <w:bCs w:val="0"/>
          <w:i/>
          <w:iCs/>
          <w:sz w:val="18"/>
          <w:szCs w:val="18"/>
        </w:rPr>
        <w:t>p</w:t>
      </w:r>
      <w:r w:rsidRPr="00241AF4">
        <w:rPr>
          <w:b w:val="0"/>
          <w:bCs w:val="0"/>
          <w:sz w:val="18"/>
          <w:szCs w:val="18"/>
        </w:rPr>
        <w:t>≤0.01), whereas isolated SDH was not (</w:t>
      </w:r>
      <w:r w:rsidRPr="00241AF4">
        <w:rPr>
          <w:b w:val="0"/>
          <w:bCs w:val="0"/>
          <w:i/>
          <w:iCs/>
          <w:sz w:val="18"/>
          <w:szCs w:val="18"/>
        </w:rPr>
        <w:t>p</w:t>
      </w:r>
      <w:r w:rsidRPr="00241AF4">
        <w:rPr>
          <w:b w:val="0"/>
          <w:bCs w:val="0"/>
          <w:sz w:val="18"/>
          <w:szCs w:val="18"/>
        </w:rPr>
        <w:t xml:space="preserve">=0.266). Patients with HIE had markedly higher rates of neurological sequelae than those without HIE (77.8% vs. 10.0%; OR 31.5, 95% CI 5.1–195; </w:t>
      </w:r>
      <w:r w:rsidRPr="00241AF4">
        <w:rPr>
          <w:b w:val="0"/>
          <w:bCs w:val="0"/>
          <w:i/>
          <w:iCs/>
          <w:sz w:val="18"/>
          <w:szCs w:val="18"/>
        </w:rPr>
        <w:t>p</w:t>
      </w:r>
      <w:r w:rsidRPr="00241AF4">
        <w:rPr>
          <w:b w:val="0"/>
          <w:bCs w:val="0"/>
          <w:sz w:val="18"/>
          <w:szCs w:val="18"/>
        </w:rPr>
        <w:t>&lt;0.001). Injury clusters integrating SDH distribution with extracranial findings such as retinal hemorrhages and rib fractures were highly suggestive of AHT.</w:t>
      </w:r>
    </w:p>
    <w:p w14:paraId="14BBE3DF" w14:textId="77777777" w:rsidR="00241AF4" w:rsidRPr="00241AF4" w:rsidRDefault="00241AF4" w:rsidP="00241AF4">
      <w:pPr>
        <w:pStyle w:val="Heading3"/>
        <w:spacing w:before="74"/>
        <w:rPr>
          <w:b w:val="0"/>
          <w:bCs w:val="0"/>
          <w:sz w:val="18"/>
          <w:szCs w:val="18"/>
        </w:rPr>
      </w:pPr>
      <w:r w:rsidRPr="00241AF4">
        <w:rPr>
          <w:b w:val="0"/>
          <w:bCs w:val="0"/>
          <w:sz w:val="18"/>
          <w:szCs w:val="18"/>
        </w:rPr>
        <w:t>Conclusion:</w:t>
      </w:r>
      <w:r w:rsidRPr="00241AF4">
        <w:rPr>
          <w:b w:val="0"/>
          <w:bCs w:val="0"/>
          <w:sz w:val="18"/>
          <w:szCs w:val="18"/>
        </w:rPr>
        <w:br/>
        <w:t>Although SDH is the most frequent imaging finding in AHT, markers of global brain injury—particularly HIE—are stronger predictors of adverse neurological outcomes. Integrating intracranial and extracranial injury patterns enhances risk stratification and may facilitate earlier identification of high-risk infants beyond clinical assessment alone.</w:t>
      </w:r>
    </w:p>
    <w:p w14:paraId="1D1B645F" w14:textId="77777777" w:rsidR="00241AF4" w:rsidRDefault="00241AF4" w:rsidP="00241AF4">
      <w:pPr>
        <w:pStyle w:val="Heading3"/>
        <w:spacing w:before="74"/>
        <w:rPr>
          <w:sz w:val="18"/>
          <w:szCs w:val="18"/>
        </w:rPr>
      </w:pPr>
    </w:p>
    <w:p w14:paraId="26A5063A" w14:textId="77777777" w:rsidR="00241AF4" w:rsidRDefault="00241AF4" w:rsidP="00241AF4">
      <w:pPr>
        <w:pStyle w:val="Heading3"/>
        <w:spacing w:before="74"/>
        <w:rPr>
          <w:sz w:val="18"/>
          <w:szCs w:val="18"/>
        </w:rPr>
      </w:pPr>
    </w:p>
    <w:p w14:paraId="4690AD17" w14:textId="77777777" w:rsidR="00241AF4" w:rsidRDefault="00241AF4" w:rsidP="00241AF4">
      <w:pPr>
        <w:pStyle w:val="Heading3"/>
        <w:spacing w:before="74"/>
        <w:rPr>
          <w:sz w:val="18"/>
          <w:szCs w:val="18"/>
        </w:rPr>
      </w:pPr>
    </w:p>
    <w:p w14:paraId="26705723" w14:textId="77777777" w:rsidR="00241AF4" w:rsidRPr="00241AF4" w:rsidRDefault="00241AF4" w:rsidP="00241AF4">
      <w:pPr>
        <w:pStyle w:val="Heading3"/>
        <w:spacing w:before="74"/>
        <w:rPr>
          <w:sz w:val="18"/>
          <w:szCs w:val="18"/>
        </w:rPr>
      </w:pPr>
    </w:p>
    <w:p w14:paraId="5A6C60F7" w14:textId="415CAB07" w:rsidR="00241AF4" w:rsidRDefault="00A9710C" w:rsidP="00317B60">
      <w:pPr>
        <w:pStyle w:val="Heading3"/>
        <w:spacing w:before="74"/>
        <w:rPr>
          <w:b w:val="0"/>
          <w:sz w:val="16"/>
        </w:rPr>
      </w:pPr>
      <w:r>
        <w:rPr>
          <w:b w:val="0"/>
        </w:rPr>
        <w:br w:type="column"/>
      </w:r>
    </w:p>
    <w:p w14:paraId="71F145EC" w14:textId="19C39C4A" w:rsidR="00AE3E37" w:rsidRPr="008756E6" w:rsidRDefault="005973B9" w:rsidP="00241AF4">
      <w:pPr>
        <w:spacing w:line="204" w:lineRule="exact"/>
      </w:pPr>
      <w:r>
        <w:rPr>
          <w:rFonts w:ascii="Arial"/>
          <w:b/>
          <w:color w:val="BF5A14"/>
          <w:sz w:val="20"/>
        </w:rPr>
        <w:br/>
      </w:r>
    </w:p>
    <w:p w14:paraId="501457C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3A6A78A" w14:textId="77777777" w:rsidR="00241AF4" w:rsidRDefault="00D62425">
      <w:pPr>
        <w:pStyle w:val="BodyText"/>
        <w:rPr>
          <w:rFonts w:ascii="Calibri"/>
          <w:sz w:val="20"/>
        </w:rPr>
      </w:pPr>
      <w:r>
        <w:rPr>
          <w:rFonts w:ascii="Calibri"/>
          <w:sz w:val="20"/>
        </w:rPr>
        <w:t xml:space="preserve">                 </w:t>
      </w:r>
    </w:p>
    <w:p w14:paraId="548ABE38" w14:textId="77777777" w:rsidR="00241AF4" w:rsidRDefault="00241AF4">
      <w:pPr>
        <w:pStyle w:val="BodyText"/>
        <w:rPr>
          <w:rFonts w:ascii="Calibri"/>
          <w:sz w:val="20"/>
        </w:rPr>
      </w:pPr>
    </w:p>
    <w:p w14:paraId="295CFA72" w14:textId="77777777" w:rsidR="00241AF4" w:rsidRDefault="00241AF4">
      <w:pPr>
        <w:pStyle w:val="BodyText"/>
        <w:rPr>
          <w:rFonts w:ascii="Calibri"/>
          <w:sz w:val="20"/>
        </w:rPr>
      </w:pPr>
    </w:p>
    <w:p w14:paraId="0B44C950" w14:textId="77777777" w:rsidR="00241AF4" w:rsidRDefault="00241AF4">
      <w:pPr>
        <w:pStyle w:val="BodyText"/>
        <w:rPr>
          <w:rFonts w:ascii="Calibri"/>
          <w:sz w:val="20"/>
        </w:rPr>
      </w:pPr>
    </w:p>
    <w:p w14:paraId="37789DE6" w14:textId="6F00C2F9" w:rsidR="00AE3E37" w:rsidRPr="00D62425" w:rsidRDefault="00D62425">
      <w:pPr>
        <w:pStyle w:val="BodyText"/>
        <w:rPr>
          <w:rFonts w:ascii="Calibri"/>
          <w:b/>
          <w:sz w:val="20"/>
        </w:rPr>
      </w:pPr>
      <w:r w:rsidRPr="00D62425">
        <w:rPr>
          <w:rFonts w:ascii="Calibri"/>
          <w:b/>
          <w:sz w:val="20"/>
        </w:rPr>
        <w:t>Photograph</w:t>
      </w:r>
    </w:p>
    <w:p w14:paraId="294E5F4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30A3705" wp14:editId="19EDB40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DCB2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B4167C" w14:textId="145B4F4C" w:rsidR="00241AF4" w:rsidRDefault="008756E6" w:rsidP="00241AF4">
      <w:pPr>
        <w:pStyle w:val="NormalWeb"/>
      </w:pPr>
      <w:r>
        <w:rPr>
          <w:noProof/>
        </w:rPr>
        <w:t xml:space="preserve">        </w:t>
      </w:r>
    </w:p>
    <w:p w14:paraId="3EA97DF5" w14:textId="1ACF8B76"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14:paraId="0BC57C40" w14:textId="77777777" w:rsidR="004F43B8" w:rsidRDefault="004F43B8">
      <w:pPr>
        <w:pStyle w:val="BodyText"/>
        <w:spacing w:before="2"/>
        <w:rPr>
          <w:rFonts w:ascii="Arial"/>
          <w:sz w:val="19"/>
        </w:rPr>
      </w:pPr>
      <w:r w:rsidRPr="004F43B8">
        <w:rPr>
          <w:rFonts w:ascii="Arial"/>
          <w:sz w:val="19"/>
        </w:rPr>
        <w:t xml:space="preserve">A professionally certified clinical radiologist with 4 years of experience. Extensive knowledge of imaging and diagnostic procedures especially in Pediatric Radiology field and currently working in Hospital </w:t>
      </w:r>
      <w:proofErr w:type="spellStart"/>
      <w:r w:rsidRPr="004F43B8">
        <w:rPr>
          <w:rFonts w:ascii="Arial"/>
          <w:sz w:val="19"/>
        </w:rPr>
        <w:t>Tunku</w:t>
      </w:r>
      <w:proofErr w:type="spellEnd"/>
      <w:r w:rsidRPr="004F43B8">
        <w:rPr>
          <w:rFonts w:ascii="Arial"/>
          <w:sz w:val="19"/>
        </w:rPr>
        <w:t xml:space="preserve"> Azizah Kuala Lumpur (Women and Children Hospital). I have started Fellowship training in </w:t>
      </w:r>
      <w:proofErr w:type="spellStart"/>
      <w:r w:rsidRPr="004F43B8">
        <w:rPr>
          <w:rFonts w:ascii="Arial"/>
          <w:sz w:val="19"/>
        </w:rPr>
        <w:t>Paediatric</w:t>
      </w:r>
      <w:proofErr w:type="spellEnd"/>
      <w:r w:rsidRPr="004F43B8">
        <w:rPr>
          <w:rFonts w:ascii="Arial"/>
          <w:sz w:val="19"/>
        </w:rPr>
        <w:t xml:space="preserve"> Radiology under the Ministry of Health, Malaysia since 1 </w:t>
      </w:r>
      <w:proofErr w:type="spellStart"/>
      <w:r w:rsidRPr="004F43B8">
        <w:rPr>
          <w:rFonts w:ascii="Arial"/>
          <w:sz w:val="19"/>
        </w:rPr>
        <w:t>st</w:t>
      </w:r>
      <w:proofErr w:type="spellEnd"/>
      <w:r w:rsidRPr="004F43B8">
        <w:rPr>
          <w:rFonts w:ascii="Arial"/>
          <w:sz w:val="19"/>
        </w:rPr>
        <w:t xml:space="preserve"> July 2023.</w:t>
      </w:r>
    </w:p>
    <w:p w14:paraId="323C6902" w14:textId="523D4B16" w:rsidR="004F43B8" w:rsidRDefault="004F43B8" w:rsidP="004F43B8">
      <w:pPr>
        <w:spacing w:before="62"/>
        <w:ind w:left="4217" w:right="4235"/>
        <w:jc w:val="center"/>
        <w:rPr>
          <w:rFonts w:ascii="Arial"/>
          <w:sz w:val="14"/>
        </w:rPr>
      </w:pPr>
      <w:r>
        <w:rPr>
          <w:rFonts w:ascii="Arial"/>
          <w:sz w:val="14"/>
        </w:rPr>
        <w:t xml:space="preserve">Email: </w:t>
      </w:r>
      <w:r w:rsidRPr="004F43B8">
        <w:rPr>
          <w:rFonts w:ascii="Arial"/>
          <w:sz w:val="14"/>
        </w:rPr>
        <w:t>hafeezag</w:t>
      </w:r>
      <w:r>
        <w:rPr>
          <w:rFonts w:ascii="Arial"/>
          <w:sz w:val="14"/>
        </w:rPr>
        <w:t>hramli@gmail.com</w:t>
      </w:r>
    </w:p>
    <w:p w14:paraId="05A16D25" w14:textId="37246F10"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F212C84" wp14:editId="46B59CF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8940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CE4CD6E" w14:textId="77777777" w:rsidR="00AE3E37" w:rsidRDefault="00AE3E37">
      <w:pPr>
        <w:pStyle w:val="BodyText"/>
        <w:rPr>
          <w:rFonts w:ascii="Arial"/>
          <w:sz w:val="20"/>
        </w:rPr>
      </w:pPr>
    </w:p>
    <w:p w14:paraId="10A9B627" w14:textId="77777777" w:rsidR="00AE3E37" w:rsidRDefault="00AE3E37">
      <w:pPr>
        <w:pStyle w:val="BodyText"/>
        <w:rPr>
          <w:rFonts w:ascii="Arial"/>
          <w:sz w:val="20"/>
        </w:rPr>
      </w:pPr>
    </w:p>
    <w:p w14:paraId="59BDAAB1" w14:textId="77777777" w:rsidR="00AE3E37" w:rsidRDefault="00AE3E37">
      <w:pPr>
        <w:pStyle w:val="BodyText"/>
        <w:spacing w:before="7"/>
        <w:rPr>
          <w:rFonts w:ascii="Arial"/>
          <w:sz w:val="29"/>
        </w:rPr>
      </w:pPr>
    </w:p>
    <w:p w14:paraId="5C4A2ECD" w14:textId="77777777" w:rsidR="00AE3E37" w:rsidRPr="00B21A57" w:rsidRDefault="00A9710C">
      <w:pPr>
        <w:spacing w:before="39"/>
        <w:ind w:left="100"/>
        <w:rPr>
          <w:rFonts w:ascii="Minion Pro"/>
          <w:b/>
          <w:sz w:val="20"/>
        </w:rPr>
      </w:pPr>
      <w:r w:rsidRPr="00B21A57">
        <w:rPr>
          <w:rFonts w:ascii="Minion Pro"/>
          <w:b/>
          <w:sz w:val="20"/>
        </w:rPr>
        <w:t>Notes/Comments:</w:t>
      </w:r>
    </w:p>
    <w:p w14:paraId="24F25AE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095D6A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71F60" w14:textId="77777777" w:rsidR="00F8136A" w:rsidRDefault="00F8136A">
      <w:r>
        <w:separator/>
      </w:r>
    </w:p>
  </w:endnote>
  <w:endnote w:type="continuationSeparator" w:id="0">
    <w:p w14:paraId="07FB6952"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7BFA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4450F3E" wp14:editId="7866A9A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0C86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C43F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450F3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E70C86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C43F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586FCE8" wp14:editId="76A0FB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0F3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4CE9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6FCE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05C0F3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4CE9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8D809A3" wp14:editId="32F666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F1EF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038B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809A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2D6F1EF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038B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AC376" w14:textId="77777777" w:rsidR="00F8136A" w:rsidRDefault="00F8136A">
      <w:r>
        <w:separator/>
      </w:r>
    </w:p>
  </w:footnote>
  <w:footnote w:type="continuationSeparator" w:id="0">
    <w:p w14:paraId="4B0D8D5E"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E10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17A9B7A" wp14:editId="67AB677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A876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7A9B7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1CA876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5AE3440" wp14:editId="77174F2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6427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91A3A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E344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8E6427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91A3A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6822496">
    <w:abstractNumId w:val="0"/>
  </w:num>
  <w:num w:numId="2" w16cid:durableId="632447849">
    <w:abstractNumId w:val="1"/>
  </w:num>
  <w:num w:numId="3" w16cid:durableId="45869392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41AF4"/>
    <w:rsid w:val="00292ED9"/>
    <w:rsid w:val="00314AFB"/>
    <w:rsid w:val="00317B60"/>
    <w:rsid w:val="003B76D9"/>
    <w:rsid w:val="00404E5B"/>
    <w:rsid w:val="00414F7B"/>
    <w:rsid w:val="004355DC"/>
    <w:rsid w:val="004607E0"/>
    <w:rsid w:val="004749B4"/>
    <w:rsid w:val="00494130"/>
    <w:rsid w:val="004F3523"/>
    <w:rsid w:val="004F43B8"/>
    <w:rsid w:val="005973B9"/>
    <w:rsid w:val="005B3A56"/>
    <w:rsid w:val="006060CE"/>
    <w:rsid w:val="0063497F"/>
    <w:rsid w:val="007137EC"/>
    <w:rsid w:val="0078738A"/>
    <w:rsid w:val="00873DF0"/>
    <w:rsid w:val="008756E6"/>
    <w:rsid w:val="009B2D44"/>
    <w:rsid w:val="00A07E82"/>
    <w:rsid w:val="00A9710C"/>
    <w:rsid w:val="00AA00A1"/>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84A885"/>
  <w15:docId w15:val="{DAB565CF-FF72-43E0-9A45-4F9A33358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241AF4"/>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siti hafeezah ramli</cp:lastModifiedBy>
  <cp:revision>4</cp:revision>
  <dcterms:created xsi:type="dcterms:W3CDTF">2026-01-30T23:23:00Z</dcterms:created>
  <dcterms:modified xsi:type="dcterms:W3CDTF">2026-01-30T23:30:00Z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d66f618d-b507-4ae4-91e7-054eb9dce2aa</vt:lpwstr>
  </property>
</Properties>
</file>