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318B6" w14:textId="3E93FD79" w:rsidR="007A3FEC" w:rsidRPr="003B6F27" w:rsidRDefault="007A3FEC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CT</w:t>
      </w:r>
      <w:r w:rsidR="00761F91"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Head </w:t>
      </w: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in Emergency Department Trauma Patients </w:t>
      </w:r>
    </w:p>
    <w:p w14:paraId="3B10874D" w14:textId="0B9A48D4" w:rsidR="00E87454" w:rsidRPr="003B6F27" w:rsidRDefault="00E87454" w:rsidP="007A3FE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>Dr Natasha Butt</w:t>
      </w:r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5" w:history="1">
        <w:r w:rsidR="000D5D7D" w:rsidRPr="005424A3">
          <w:rPr>
            <w:rStyle w:val="Hyperlink"/>
            <w:rFonts w:ascii="Arial" w:hAnsi="Arial" w:cs="Arial"/>
            <w:sz w:val="22"/>
            <w:szCs w:val="22"/>
          </w:rPr>
          <w:t>natasha.butt1@nhs.net</w:t>
        </w:r>
      </w:hyperlink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, Dr Ambika Kapoor</w:t>
      </w:r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6" w:history="1">
        <w:r w:rsidR="000D5D7D" w:rsidRPr="005424A3">
          <w:rPr>
            <w:rStyle w:val="Hyperlink"/>
            <w:rFonts w:ascii="Arial" w:hAnsi="Arial" w:cs="Arial"/>
            <w:sz w:val="22"/>
            <w:szCs w:val="22"/>
          </w:rPr>
          <w:t>ambika.kapoor4@nhs.net</w:t>
        </w:r>
      </w:hyperlink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7229DA" w:rsidRPr="003B6F27">
        <w:rPr>
          <w:rFonts w:ascii="Arial" w:hAnsi="Arial" w:cs="Arial"/>
          <w:color w:val="000000" w:themeColor="text1"/>
          <w:sz w:val="22"/>
          <w:szCs w:val="22"/>
        </w:rPr>
        <w:t>Dr Naomi Sellars</w:t>
      </w:r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7" w:history="1">
        <w:r w:rsidR="000D5D7D" w:rsidRPr="005424A3">
          <w:rPr>
            <w:rStyle w:val="Hyperlink"/>
            <w:rFonts w:ascii="Arial" w:hAnsi="Arial" w:cs="Arial"/>
            <w:sz w:val="22"/>
            <w:szCs w:val="22"/>
          </w:rPr>
          <w:t>Naomi.Sellars@nhs.net</w:t>
        </w:r>
      </w:hyperlink>
      <w:r w:rsidR="000D5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258492" w14:textId="13BE7C4D" w:rsidR="007229DA" w:rsidRPr="003B6F27" w:rsidRDefault="007229DA" w:rsidP="007A3FE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>Surrey and Sussex Healthcare Trust</w:t>
      </w:r>
    </w:p>
    <w:p w14:paraId="5EC7C09A" w14:textId="77777777" w:rsidR="007A3FEC" w:rsidRPr="003B6F27" w:rsidRDefault="007A3FE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DF4AF69" w14:textId="04B0F824" w:rsidR="007A3FEC" w:rsidRPr="003B6F27" w:rsidRDefault="007A3FEC" w:rsidP="005A062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Background</w:t>
      </w:r>
    </w:p>
    <w:p w14:paraId="029B9DB2" w14:textId="2B2A706B" w:rsidR="007A3FEC" w:rsidRPr="003B6F27" w:rsidRDefault="00D01752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In the UK h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ead injury is the </w:t>
      </w:r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commonest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cause of death and disability in individuals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under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40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(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1).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The National Confidential Enquiry into Patient Outcome and Death 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>recommended that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>patients with severe head injury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should have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CT Head (CTH) within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1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hour of 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 xml:space="preserve">hospital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arrival (2). This is also reflected in </w:t>
      </w:r>
      <w:r w:rsidR="00C54858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NICE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head injury guidance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 (3). A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>t our centre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 an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initial audit in 2015 found that 60% of patients had CTH within 1hour of admission and 94% 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>had CTH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 within 1hour of request. 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>R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>e-audit in 2018 found that 21% of patients had CTH within 1hour of admission and 84% had CT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H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 within 1hour of request. </w:t>
      </w:r>
    </w:p>
    <w:p w14:paraId="26FD652C" w14:textId="77777777" w:rsidR="007A3FEC" w:rsidRPr="003B6F27" w:rsidRDefault="007A3FEC" w:rsidP="005A062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77317C3" w14:textId="4FB5E7C6" w:rsidR="007A3FEC" w:rsidRPr="003B6F27" w:rsidRDefault="007A3FEC" w:rsidP="005A062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Method</w:t>
      </w:r>
      <w:r w:rsidR="00CF3AF3"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</w:p>
    <w:p w14:paraId="274A0ADC" w14:textId="1AC092E0" w:rsidR="007A3FEC" w:rsidRPr="003B6F27" w:rsidRDefault="007A3FEC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Retrospective data 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>e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 xml:space="preserve">mergency department trauma patients requiring CTH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from June-August 2022 was 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>assessed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>T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ime of admission, scan request, scan and report</w:t>
      </w:r>
      <w:r w:rsidR="0027182B" w:rsidRPr="003B6F27">
        <w:rPr>
          <w:rFonts w:ascii="Arial" w:hAnsi="Arial" w:cs="Arial"/>
          <w:color w:val="000000" w:themeColor="text1"/>
          <w:sz w:val="22"/>
          <w:szCs w:val="22"/>
        </w:rPr>
        <w:t xml:space="preserve"> were evaluated</w:t>
      </w:r>
      <w:r w:rsidR="00D01752" w:rsidRPr="003B6F2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0FD0F8B" w14:textId="77777777" w:rsidR="007A3FEC" w:rsidRPr="003B6F27" w:rsidRDefault="007A3FEC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9712F57" w14:textId="77777777" w:rsidR="007A3FEC" w:rsidRPr="003B6F27" w:rsidRDefault="007A3FEC" w:rsidP="005A062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Results</w:t>
      </w:r>
    </w:p>
    <w:p w14:paraId="6DEFCE87" w14:textId="19FC974C" w:rsidR="007A3FEC" w:rsidRPr="003B6F27" w:rsidRDefault="007A3FEC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60 trauma 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patients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required CTH. 50% were requested within 1hour of admissio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>n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 and 12% of CTH were performed within 1hour of admission. 63% of CTH were performed within 1hour of request. 90% </w:t>
      </w:r>
      <w:r w:rsidR="00004C4A" w:rsidRPr="003B6F27">
        <w:rPr>
          <w:rFonts w:ascii="Arial" w:hAnsi="Arial" w:cs="Arial"/>
          <w:color w:val="000000" w:themeColor="text1"/>
          <w:sz w:val="22"/>
          <w:szCs w:val="22"/>
        </w:rPr>
        <w:t xml:space="preserve">of CTH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were reported within 1hour of scan</w:t>
      </w:r>
      <w:r w:rsidR="00004C4A" w:rsidRPr="003B6F2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3D3002A" w14:textId="77777777" w:rsidR="007A3FEC" w:rsidRPr="003B6F27" w:rsidRDefault="007A3FEC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8D03918" w14:textId="5C012761" w:rsidR="007A3FEC" w:rsidRPr="003B6F27" w:rsidRDefault="007A3FEC" w:rsidP="005A062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>Discussion &amp; Conclusions</w:t>
      </w:r>
    </w:p>
    <w:p w14:paraId="529A268F" w14:textId="28FF7093" w:rsidR="007A3FEC" w:rsidRPr="003B6F27" w:rsidRDefault="00004C4A" w:rsidP="005A062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>T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 xml:space="preserve">imings of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CTH in trauma patients </w:t>
      </w:r>
      <w:r w:rsidR="00D01752" w:rsidRPr="003B6F27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7229DA" w:rsidRPr="003B6F27">
        <w:rPr>
          <w:rFonts w:ascii="Arial" w:hAnsi="Arial" w:cs="Arial"/>
          <w:color w:val="000000" w:themeColor="text1"/>
          <w:sz w:val="22"/>
          <w:szCs w:val="22"/>
        </w:rPr>
        <w:t xml:space="preserve">not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>complian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>t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 with guidelines. 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>T</w:t>
      </w:r>
      <w:r w:rsidR="00D01752" w:rsidRPr="003B6F27">
        <w:rPr>
          <w:rFonts w:ascii="Arial" w:hAnsi="Arial" w:cs="Arial"/>
          <w:color w:val="000000" w:themeColor="text1"/>
          <w:sz w:val="22"/>
          <w:szCs w:val="22"/>
        </w:rPr>
        <w:t xml:space="preserve">here has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been a </w:t>
      </w:r>
      <w:r w:rsidR="00D848A3" w:rsidRPr="003B6F27">
        <w:rPr>
          <w:rFonts w:ascii="Arial" w:hAnsi="Arial" w:cs="Arial"/>
          <w:color w:val="000000" w:themeColor="text1"/>
          <w:sz w:val="22"/>
          <w:szCs w:val="22"/>
        </w:rPr>
        <w:t xml:space="preserve">progressive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decline </w:t>
      </w:r>
      <w:r w:rsidR="00D01752" w:rsidRPr="003B6F27">
        <w:rPr>
          <w:rFonts w:ascii="Arial" w:hAnsi="Arial" w:cs="Arial"/>
          <w:color w:val="000000" w:themeColor="text1"/>
          <w:sz w:val="22"/>
          <w:szCs w:val="22"/>
        </w:rPr>
        <w:t xml:space="preserve">in proportion </w:t>
      </w:r>
      <w:r w:rsidR="00FA2109" w:rsidRPr="003B6F27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D01752" w:rsidRPr="003B6F27">
        <w:rPr>
          <w:rFonts w:ascii="Arial" w:hAnsi="Arial" w:cs="Arial"/>
          <w:color w:val="000000" w:themeColor="text1"/>
          <w:sz w:val="22"/>
          <w:szCs w:val="22"/>
        </w:rPr>
        <w:t xml:space="preserve">CTH within 1hour of admission and scan request. 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Reasons for this include a busier department with a larger </w:t>
      </w:r>
      <w:r w:rsidR="00E87454" w:rsidRPr="003B6F27">
        <w:rPr>
          <w:rFonts w:ascii="Arial" w:hAnsi="Arial" w:cs="Arial"/>
          <w:color w:val="000000" w:themeColor="text1"/>
          <w:sz w:val="22"/>
          <w:szCs w:val="22"/>
        </w:rPr>
        <w:t>number</w:t>
      </w:r>
      <w:r w:rsidR="007A3FEC" w:rsidRPr="003B6F27">
        <w:rPr>
          <w:rFonts w:ascii="Arial" w:hAnsi="Arial" w:cs="Arial"/>
          <w:color w:val="000000" w:themeColor="text1"/>
          <w:sz w:val="22"/>
          <w:szCs w:val="22"/>
        </w:rPr>
        <w:t xml:space="preserve"> of patients and scans.  </w:t>
      </w:r>
    </w:p>
    <w:p w14:paraId="350CCAB9" w14:textId="77777777" w:rsidR="007A3FEC" w:rsidRPr="003B6F27" w:rsidRDefault="007A3FEC" w:rsidP="007A3FE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78A9F87" w14:textId="77777777" w:rsidR="007A3FEC" w:rsidRPr="003B6F27" w:rsidRDefault="007A3FEC">
      <w:pPr>
        <w:rPr>
          <w:color w:val="000000" w:themeColor="text1"/>
          <w:sz w:val="22"/>
          <w:szCs w:val="22"/>
        </w:rPr>
      </w:pPr>
    </w:p>
    <w:p w14:paraId="15E08357" w14:textId="15E4BA14" w:rsidR="00E87454" w:rsidRPr="003B6F27" w:rsidRDefault="00E87454">
      <w:pPr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Word count- </w:t>
      </w:r>
      <w:r w:rsidR="00C54858" w:rsidRPr="003B6F27">
        <w:rPr>
          <w:rFonts w:ascii="Arial" w:hAnsi="Arial" w:cs="Arial"/>
          <w:color w:val="000000" w:themeColor="text1"/>
          <w:sz w:val="22"/>
          <w:szCs w:val="22"/>
        </w:rPr>
        <w:t>218</w:t>
      </w:r>
    </w:p>
    <w:p w14:paraId="18619C41" w14:textId="77777777" w:rsidR="00845ACA" w:rsidRDefault="00845ACA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A1475ED" w14:textId="77777777" w:rsidR="003B6F27" w:rsidRDefault="003B6F27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9F2E3FF" w14:textId="77777777" w:rsidR="003B6F27" w:rsidRDefault="003B6F27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656909A" w14:textId="77777777" w:rsidR="000D5D7D" w:rsidRDefault="000D5D7D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6CDEBF9" w14:textId="77A0FEA9" w:rsidR="007A3FEC" w:rsidRPr="003B6F27" w:rsidRDefault="007A3FEC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References </w:t>
      </w:r>
    </w:p>
    <w:p w14:paraId="04E29D3B" w14:textId="77777777" w:rsidR="007A3FEC" w:rsidRPr="003B6F27" w:rsidRDefault="007A3FEC" w:rsidP="007A3FEC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1522C90" w14:textId="77777777" w:rsidR="000F40A1" w:rsidRPr="003B6F27" w:rsidRDefault="000F40A1" w:rsidP="000F40A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CC3FEF2" w14:textId="57869940" w:rsidR="00024A52" w:rsidRPr="003B6F27" w:rsidRDefault="000F40A1" w:rsidP="00024A5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Ghalab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A, Tariq M, </w:t>
      </w: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Akram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R, </w:t>
      </w: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Ikwuagwu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A. P58</w:t>
      </w:r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 </w:t>
      </w:r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Head Injury CT scan: measuring up to NICE guidelines. BJS Open. 2021 Apr 8;5(</w:t>
      </w: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Suppl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1</w:t>
      </w:r>
      <w:proofErr w:type="gram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):zrab</w:t>
      </w:r>
      <w:proofErr w:type="gram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032.057. </w:t>
      </w: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doi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: 10.1093/</w:t>
      </w:r>
      <w:proofErr w:type="spellStart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bjsopen</w:t>
      </w:r>
      <w:proofErr w:type="spellEnd"/>
      <w:r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/zrab032.057. PMCID: PMC8030189. </w:t>
      </w:r>
    </w:p>
    <w:p w14:paraId="6BC10E04" w14:textId="4E7B0B16" w:rsidR="000F40A1" w:rsidRPr="003B6F27" w:rsidRDefault="00024A52" w:rsidP="000F40A1">
      <w:pPr>
        <w:pStyle w:val="NormalWeb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>National Confidential Enquiry into patient outcome and death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 2007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. Available at: </w:t>
      </w:r>
      <w:hyperlink r:id="rId8" w:history="1">
        <w:r w:rsidRPr="003B6F27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https://www.ncepod.org.uk/2007report2/Downloads/SIP_report.pdf</w:t>
        </w:r>
      </w:hyperlink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  (Accessed: 15 August 2023). </w:t>
      </w:r>
    </w:p>
    <w:p w14:paraId="1BF6C8D3" w14:textId="6A43CE8C" w:rsidR="00024A52" w:rsidRPr="003B6F27" w:rsidRDefault="00024A52" w:rsidP="000F40A1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3B6F27">
        <w:rPr>
          <w:rFonts w:ascii="Arial" w:hAnsi="Arial" w:cs="Arial"/>
          <w:color w:val="000000" w:themeColor="text1"/>
          <w:sz w:val="22"/>
          <w:szCs w:val="22"/>
        </w:rPr>
        <w:t>Head injury: Assessment and early management: Guidance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National Institute for Health and Clinical Excellence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>.</w:t>
      </w:r>
      <w:r w:rsidR="000F40A1" w:rsidRPr="003B6F2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Available at: </w:t>
      </w:r>
      <w:hyperlink r:id="rId9" w:history="1">
        <w:r w:rsidRPr="003B6F27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https://www.nice.org.uk/guidance/ng232</w:t>
        </w:r>
      </w:hyperlink>
      <w:r w:rsidRPr="003B6F27">
        <w:rPr>
          <w:rFonts w:ascii="Arial" w:hAnsi="Arial" w:cs="Arial"/>
          <w:color w:val="000000" w:themeColor="text1"/>
          <w:sz w:val="22"/>
          <w:szCs w:val="22"/>
        </w:rPr>
        <w:t xml:space="preserve">  (Accessed: 15 August 2023). </w:t>
      </w:r>
    </w:p>
    <w:p w14:paraId="7FC63296" w14:textId="77777777" w:rsidR="007A3FEC" w:rsidRDefault="007A3FEC" w:rsidP="007A3FEC">
      <w:pPr>
        <w:jc w:val="both"/>
      </w:pPr>
    </w:p>
    <w:p w14:paraId="718FB22E" w14:textId="77777777" w:rsidR="007A3FEC" w:rsidRDefault="007A3FEC" w:rsidP="007A3FEC">
      <w:pPr>
        <w:jc w:val="both"/>
      </w:pPr>
    </w:p>
    <w:p w14:paraId="30B37B22" w14:textId="77777777" w:rsidR="007A3FEC" w:rsidRDefault="007A3FEC" w:rsidP="007A3FEC">
      <w:pPr>
        <w:jc w:val="both"/>
      </w:pPr>
    </w:p>
    <w:p w14:paraId="2E9A8F1C" w14:textId="77777777" w:rsidR="007A3FEC" w:rsidRDefault="007A3FEC"/>
    <w:sectPr w:rsidR="007A3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33A9"/>
    <w:multiLevelType w:val="hybridMultilevel"/>
    <w:tmpl w:val="4238E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1760A"/>
    <w:multiLevelType w:val="hybridMultilevel"/>
    <w:tmpl w:val="58005D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609030">
    <w:abstractNumId w:val="1"/>
  </w:num>
  <w:num w:numId="2" w16cid:durableId="37068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EC"/>
    <w:rsid w:val="00004C4A"/>
    <w:rsid w:val="00024A52"/>
    <w:rsid w:val="000D5D7D"/>
    <w:rsid w:val="000F40A1"/>
    <w:rsid w:val="0027182B"/>
    <w:rsid w:val="003B6F27"/>
    <w:rsid w:val="004E5471"/>
    <w:rsid w:val="005A062C"/>
    <w:rsid w:val="007229DA"/>
    <w:rsid w:val="00761F91"/>
    <w:rsid w:val="007A3FEC"/>
    <w:rsid w:val="00845ACA"/>
    <w:rsid w:val="00C54858"/>
    <w:rsid w:val="00CA158A"/>
    <w:rsid w:val="00CF3AF3"/>
    <w:rsid w:val="00D01752"/>
    <w:rsid w:val="00D848A3"/>
    <w:rsid w:val="00E87454"/>
    <w:rsid w:val="00F46CF1"/>
    <w:rsid w:val="00FA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D8EA9"/>
  <w15:chartTrackingRefBased/>
  <w15:docId w15:val="{90595125-712B-DD44-AF1B-95CB08FD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3FE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3FE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229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4A5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24A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1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epod.org.uk/2007report2/Downloads/SIP_report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omi.Sellars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bika.kapoor4@nhs.ne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tasha.butt1@nhs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ice.org.uk/guidance/ng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natasha.b@live.com</dc:creator>
  <cp:keywords/>
  <dc:description/>
  <cp:lastModifiedBy>natasha.b@live.com</cp:lastModifiedBy>
  <cp:revision>14</cp:revision>
  <cp:lastPrinted>2023-08-09T12:07:00Z</cp:lastPrinted>
  <dcterms:created xsi:type="dcterms:W3CDTF">2023-08-09T12:07:00Z</dcterms:created>
  <dcterms:modified xsi:type="dcterms:W3CDTF">2023-08-21T18:09:00Z</dcterms:modified>
</cp:coreProperties>
</file>