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9BA57" w14:textId="74D871B6" w:rsidR="00AE3E37" w:rsidRDefault="00EE1340" w:rsidP="00494130">
      <w:pPr>
        <w:pStyle w:val="Heading1"/>
        <w:spacing w:before="170"/>
        <w:ind w:left="0"/>
      </w:pPr>
      <w:r w:rsidRPr="00EE1340">
        <w:rPr>
          <w:color w:val="337AB7"/>
        </w:rPr>
        <w:t>Enhancing Interventional Radiology Awareness and Knowledge among Medical Students: A Near-Peer Teaching Approach</w:t>
      </w:r>
    </w:p>
    <w:p w14:paraId="3F7271A8" w14:textId="27280F1E" w:rsidR="00EE1340" w:rsidRDefault="00EE1340" w:rsidP="00EE1340">
      <w:pPr>
        <w:rPr>
          <w:rFonts w:ascii="Arial" w:hAnsi="Arial" w:cs="Arial"/>
          <w:color w:val="000000" w:themeColor="text1"/>
        </w:rPr>
      </w:pPr>
      <w:r>
        <w:rPr>
          <w:rFonts w:ascii="Arial" w:hAnsi="Arial" w:cs="Arial"/>
          <w:color w:val="000000" w:themeColor="text1"/>
        </w:rPr>
        <w:t xml:space="preserve">Mr </w:t>
      </w:r>
      <w:r w:rsidRPr="00CD027B">
        <w:rPr>
          <w:rFonts w:ascii="Arial" w:hAnsi="Arial" w:cs="Arial"/>
          <w:color w:val="000000" w:themeColor="text1"/>
        </w:rPr>
        <w:t>Nishaanth Dalavaye</w:t>
      </w:r>
      <w:r w:rsidRPr="00CD027B">
        <w:rPr>
          <w:rFonts w:ascii="Arial" w:hAnsi="Arial" w:cs="Arial"/>
          <w:color w:val="000000" w:themeColor="text1"/>
          <w:vertAlign w:val="superscript"/>
        </w:rPr>
        <w:t>1</w:t>
      </w:r>
      <w:r>
        <w:rPr>
          <w:rFonts w:ascii="Arial" w:hAnsi="Arial" w:cs="Arial"/>
          <w:color w:val="000000" w:themeColor="text1"/>
        </w:rPr>
        <w:t>, BSc</w:t>
      </w:r>
      <w:r w:rsidRPr="00CD027B">
        <w:rPr>
          <w:rFonts w:ascii="Arial" w:hAnsi="Arial" w:cs="Arial"/>
          <w:color w:val="000000" w:themeColor="text1"/>
        </w:rPr>
        <w:t xml:space="preserve"> </w:t>
      </w:r>
    </w:p>
    <w:p w14:paraId="247F0D0E" w14:textId="1C3E02D8" w:rsidR="00EE1340" w:rsidRDefault="00EE1340" w:rsidP="00EE1340">
      <w:pPr>
        <w:rPr>
          <w:rFonts w:ascii="Arial" w:hAnsi="Arial" w:cs="Arial"/>
          <w:color w:val="000000" w:themeColor="text1"/>
        </w:rPr>
      </w:pPr>
      <w:r>
        <w:rPr>
          <w:rFonts w:ascii="Arial" w:hAnsi="Arial" w:cs="Arial"/>
          <w:color w:val="000000" w:themeColor="text1"/>
        </w:rPr>
        <w:t xml:space="preserve">Mr </w:t>
      </w:r>
      <w:r w:rsidRPr="00CD027B">
        <w:rPr>
          <w:rFonts w:ascii="Arial" w:hAnsi="Arial" w:cs="Arial"/>
          <w:color w:val="000000" w:themeColor="text1"/>
        </w:rPr>
        <w:t>Ravanth Baskaran</w:t>
      </w:r>
      <w:r w:rsidRPr="00CD027B">
        <w:rPr>
          <w:rFonts w:ascii="Arial" w:hAnsi="Arial" w:cs="Arial"/>
          <w:color w:val="000000" w:themeColor="text1"/>
          <w:vertAlign w:val="superscript"/>
        </w:rPr>
        <w:t>1</w:t>
      </w:r>
      <w:r>
        <w:rPr>
          <w:rFonts w:ascii="Arial" w:hAnsi="Arial" w:cs="Arial"/>
          <w:color w:val="000000" w:themeColor="text1"/>
        </w:rPr>
        <w:t>, BSc, AFHEA</w:t>
      </w:r>
    </w:p>
    <w:p w14:paraId="39248F74" w14:textId="6DAE186D" w:rsidR="00EE1340" w:rsidRDefault="00EE1340" w:rsidP="00EE1340">
      <w:pPr>
        <w:rPr>
          <w:rFonts w:ascii="Arial" w:hAnsi="Arial" w:cs="Arial"/>
          <w:color w:val="000000" w:themeColor="text1"/>
        </w:rPr>
      </w:pPr>
      <w:r>
        <w:rPr>
          <w:rFonts w:ascii="Arial" w:hAnsi="Arial" w:cs="Arial"/>
          <w:color w:val="000000" w:themeColor="text1"/>
        </w:rPr>
        <w:t xml:space="preserve">Mr </w:t>
      </w:r>
      <w:r w:rsidRPr="00CD027B">
        <w:rPr>
          <w:rFonts w:ascii="Arial" w:hAnsi="Arial" w:cs="Arial"/>
          <w:color w:val="000000" w:themeColor="text1"/>
        </w:rPr>
        <w:t>Srinjay Mukhopadhyay</w:t>
      </w:r>
      <w:r w:rsidRPr="00CD027B">
        <w:rPr>
          <w:rFonts w:ascii="Arial" w:hAnsi="Arial" w:cs="Arial"/>
          <w:color w:val="000000" w:themeColor="text1"/>
          <w:vertAlign w:val="superscript"/>
        </w:rPr>
        <w:t>1</w:t>
      </w:r>
      <w:r>
        <w:rPr>
          <w:rFonts w:ascii="Arial" w:hAnsi="Arial" w:cs="Arial"/>
          <w:color w:val="000000" w:themeColor="text1"/>
        </w:rPr>
        <w:t>, BSc</w:t>
      </w:r>
      <w:r w:rsidRPr="00CD027B">
        <w:rPr>
          <w:rFonts w:ascii="Arial" w:hAnsi="Arial" w:cs="Arial"/>
          <w:color w:val="000000" w:themeColor="text1"/>
        </w:rPr>
        <w:t xml:space="preserve"> </w:t>
      </w:r>
    </w:p>
    <w:p w14:paraId="4AA025EA" w14:textId="4AEBF7EC" w:rsidR="00EE1340" w:rsidRPr="00CD027B" w:rsidRDefault="00EE1340" w:rsidP="00EE1340">
      <w:pPr>
        <w:rPr>
          <w:rFonts w:ascii="Arial" w:hAnsi="Arial" w:cs="Arial"/>
          <w:color w:val="000000" w:themeColor="text1"/>
        </w:rPr>
      </w:pPr>
      <w:r>
        <w:rPr>
          <w:rFonts w:ascii="Arial" w:hAnsi="Arial" w:cs="Arial"/>
          <w:color w:val="000000" w:themeColor="text1"/>
        </w:rPr>
        <w:t xml:space="preserve">Mr </w:t>
      </w:r>
      <w:r w:rsidRPr="00CD027B">
        <w:rPr>
          <w:rFonts w:ascii="Arial" w:hAnsi="Arial" w:cs="Arial"/>
          <w:color w:val="000000" w:themeColor="text1"/>
        </w:rPr>
        <w:t>Movin Peramuna Gamage</w:t>
      </w:r>
      <w:r w:rsidRPr="00CD027B">
        <w:rPr>
          <w:rFonts w:ascii="Arial" w:hAnsi="Arial" w:cs="Arial"/>
          <w:color w:val="000000" w:themeColor="text1"/>
          <w:vertAlign w:val="superscript"/>
        </w:rPr>
        <w:t>1</w:t>
      </w:r>
      <w:r>
        <w:rPr>
          <w:rFonts w:ascii="Arial" w:hAnsi="Arial" w:cs="Arial"/>
          <w:color w:val="000000" w:themeColor="text1"/>
        </w:rPr>
        <w:t>, BSc</w:t>
      </w:r>
      <w:r w:rsidRPr="00CD027B">
        <w:rPr>
          <w:rFonts w:ascii="Arial" w:hAnsi="Arial" w:cs="Arial"/>
          <w:color w:val="000000" w:themeColor="text1"/>
        </w:rPr>
        <w:t xml:space="preserve"> </w:t>
      </w:r>
    </w:p>
    <w:p w14:paraId="7CDB5480" w14:textId="77777777" w:rsidR="00EE1340" w:rsidRPr="000333DA" w:rsidRDefault="00EE1340" w:rsidP="00EE1340">
      <w:pPr>
        <w:pStyle w:val="ListParagraph"/>
        <w:widowControl/>
        <w:numPr>
          <w:ilvl w:val="0"/>
          <w:numId w:val="4"/>
        </w:numPr>
        <w:spacing w:before="0" w:line="240" w:lineRule="auto"/>
        <w:contextualSpacing/>
        <w:jc w:val="left"/>
        <w:rPr>
          <w:rFonts w:ascii="Arial" w:hAnsi="Arial" w:cs="Arial"/>
          <w:color w:val="000000" w:themeColor="text1"/>
        </w:rPr>
      </w:pPr>
      <w:r w:rsidRPr="000333DA">
        <w:rPr>
          <w:rFonts w:ascii="Arial" w:hAnsi="Arial" w:cs="Arial"/>
          <w:color w:val="000000" w:themeColor="text1"/>
        </w:rPr>
        <w:t>School of Medicine, Cardiff University, Cardiff, United Kingdom</w:t>
      </w:r>
    </w:p>
    <w:p w14:paraId="0F0F29E3" w14:textId="77777777" w:rsidR="00AE3E37" w:rsidRDefault="00AE3E37">
      <w:pPr>
        <w:pStyle w:val="BodyText"/>
        <w:rPr>
          <w:rFonts w:ascii="Arial"/>
          <w:sz w:val="20"/>
        </w:rPr>
      </w:pPr>
    </w:p>
    <w:p w14:paraId="058DFA94" w14:textId="77777777" w:rsidR="00AE3E37" w:rsidRDefault="00AE3E37">
      <w:pPr>
        <w:rPr>
          <w:rFonts w:ascii="Arial"/>
          <w:sz w:val="21"/>
        </w:rPr>
        <w:sectPr w:rsidR="00AE3E37" w:rsidSect="00513E0A">
          <w:headerReference w:type="default" r:id="rId7"/>
          <w:footerReference w:type="default" r:id="rId8"/>
          <w:type w:val="continuous"/>
          <w:pgSz w:w="11910" w:h="16840"/>
          <w:pgMar w:top="1740" w:right="600" w:bottom="840" w:left="620" w:header="510" w:footer="642" w:gutter="0"/>
          <w:cols w:space="720"/>
          <w:docGrid w:linePitch="299"/>
        </w:sectPr>
      </w:pPr>
    </w:p>
    <w:p w14:paraId="32D2C48D"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2FA2A682" w14:textId="77777777" w:rsidR="00EE1340" w:rsidRPr="00EE1340" w:rsidRDefault="00EE1340" w:rsidP="00EE1340">
      <w:pPr>
        <w:jc w:val="both"/>
        <w:rPr>
          <w:rFonts w:ascii="Calibri" w:hAnsi="Calibri" w:cs="Calibri"/>
          <w:sz w:val="18"/>
          <w:szCs w:val="18"/>
        </w:rPr>
      </w:pPr>
      <w:r w:rsidRPr="00EE1340">
        <w:rPr>
          <w:rFonts w:ascii="Calibri" w:hAnsi="Calibri" w:cs="Calibri"/>
          <w:b/>
          <w:bCs/>
          <w:sz w:val="18"/>
          <w:szCs w:val="18"/>
        </w:rPr>
        <w:t>Background</w:t>
      </w:r>
      <w:r w:rsidRPr="00EE1340">
        <w:rPr>
          <w:rFonts w:ascii="Calibri" w:hAnsi="Calibri" w:cs="Calibri"/>
          <w:sz w:val="18"/>
          <w:szCs w:val="18"/>
        </w:rPr>
        <w:t xml:space="preserve">: Interventional Radiology (IR) is vital in modern medicine; however, UK medical students often lack awareness and knowledge of this field, resulting in challenges meeting the increasing demand for IR services. Near-peer teaching (NPT) has proven effective in various medical areas, prompting exploration of its impact on enhancing IR knowledge and student interest.  </w:t>
      </w:r>
    </w:p>
    <w:p w14:paraId="0DDA8A91" w14:textId="77777777" w:rsidR="00EE1340" w:rsidRPr="00EE1340" w:rsidRDefault="00EE1340" w:rsidP="00EE1340">
      <w:pPr>
        <w:jc w:val="both"/>
        <w:rPr>
          <w:rFonts w:ascii="Calibri" w:hAnsi="Calibri" w:cs="Calibri"/>
          <w:sz w:val="18"/>
          <w:szCs w:val="18"/>
        </w:rPr>
      </w:pPr>
    </w:p>
    <w:p w14:paraId="14029F24" w14:textId="77777777" w:rsidR="00EE1340" w:rsidRPr="00EE1340" w:rsidRDefault="00EE1340" w:rsidP="00EE1340">
      <w:pPr>
        <w:jc w:val="both"/>
        <w:rPr>
          <w:rFonts w:ascii="Calibri" w:hAnsi="Calibri" w:cs="Calibri"/>
          <w:sz w:val="18"/>
          <w:szCs w:val="18"/>
        </w:rPr>
      </w:pPr>
      <w:r w:rsidRPr="00EE1340">
        <w:rPr>
          <w:rFonts w:ascii="Calibri" w:hAnsi="Calibri" w:cs="Calibri"/>
          <w:b/>
          <w:bCs/>
          <w:sz w:val="18"/>
          <w:szCs w:val="18"/>
        </w:rPr>
        <w:t>Methods</w:t>
      </w:r>
      <w:r w:rsidRPr="00EE1340">
        <w:rPr>
          <w:rFonts w:ascii="Calibri" w:hAnsi="Calibri" w:cs="Calibri"/>
          <w:sz w:val="18"/>
          <w:szCs w:val="18"/>
        </w:rPr>
        <w:t>: This observational pre-post study aimed to assess NPT's influence on undergraduates' perceptions and understanding of IR. The teaching occurred on a well-established Massive Open Online Course platform. Interactive elements, such as medical finals-style single-best-answer questions, were integrated, while visual aids like diagrams highlighted IR procedures' importance in diagnosing and managing conditions. The session aligned with the curricula of the Cardiovascular and Interventional Radiological Society of Europe (CIRSE) and the UK Medical Licensing Assessment (UKMLA), ensuring educational relevance. Pre-session and post-session questionnaires captured shifts in participants' knowledge and attitudes. Data analysis encompassed descriptive statistics and the Mann-Whitney U test.</w:t>
      </w:r>
    </w:p>
    <w:p w14:paraId="439FDFFA" w14:textId="77777777" w:rsidR="00EE1340" w:rsidRPr="00EE1340" w:rsidRDefault="00EE1340" w:rsidP="00EE1340">
      <w:pPr>
        <w:jc w:val="both"/>
        <w:rPr>
          <w:rFonts w:ascii="Calibri" w:hAnsi="Calibri" w:cs="Calibri"/>
          <w:sz w:val="18"/>
          <w:szCs w:val="18"/>
        </w:rPr>
      </w:pPr>
    </w:p>
    <w:p w14:paraId="676040A0" w14:textId="77777777" w:rsidR="00EE1340" w:rsidRPr="00EE1340" w:rsidRDefault="00EE1340" w:rsidP="00EE1340">
      <w:pPr>
        <w:jc w:val="both"/>
        <w:rPr>
          <w:rFonts w:ascii="Calibri" w:hAnsi="Calibri" w:cs="Calibri"/>
          <w:sz w:val="18"/>
          <w:szCs w:val="18"/>
        </w:rPr>
      </w:pPr>
      <w:r w:rsidRPr="00EE1340">
        <w:rPr>
          <w:rFonts w:ascii="Calibri" w:hAnsi="Calibri" w:cs="Calibri"/>
          <w:b/>
          <w:bCs/>
          <w:sz w:val="18"/>
          <w:szCs w:val="18"/>
        </w:rPr>
        <w:t>Results</w:t>
      </w:r>
      <w:r w:rsidRPr="00EE1340">
        <w:rPr>
          <w:rFonts w:ascii="Calibri" w:hAnsi="Calibri" w:cs="Calibri"/>
          <w:sz w:val="18"/>
          <w:szCs w:val="18"/>
        </w:rPr>
        <w:t xml:space="preserve">: The NPT session significantly raised participants' IR awareness and knowledge. Interest in pursuing an IR career notably improved (pre-session: 30.0% strongly disagree, post-session: 8.7% strongly disagree, p = 0.389). Intentions for IR electives also increased (pre-session: 20.0%, post-session: 26.1%, p = 0.616). Recognition of IR's role in emergencies like stroke (pre-session: 30%, post-session: 60.9%, p&lt;0.05) and aortic aneurysms (pre-session: 30%, post-session: 60.9%, p&lt;0.05) improved substantially. Awareness of various IR procedures, including inferior vena cava filter placement, significantly increased (pre-session: 20.0%, post-session: 60.9%, p = 0.001).  </w:t>
      </w:r>
    </w:p>
    <w:p w14:paraId="729C2CEA" w14:textId="77777777" w:rsidR="00EE1340" w:rsidRPr="00EE1340" w:rsidRDefault="00EE1340" w:rsidP="00EE1340">
      <w:pPr>
        <w:jc w:val="both"/>
        <w:rPr>
          <w:rFonts w:ascii="Calibri" w:hAnsi="Calibri" w:cs="Calibri"/>
          <w:sz w:val="18"/>
          <w:szCs w:val="18"/>
        </w:rPr>
      </w:pPr>
    </w:p>
    <w:p w14:paraId="6C73F156" w14:textId="77777777" w:rsidR="00EE1340" w:rsidRDefault="00EE1340" w:rsidP="00EE1340">
      <w:pPr>
        <w:jc w:val="both"/>
        <w:rPr>
          <w:rFonts w:ascii="Calibri" w:hAnsi="Calibri" w:cs="Calibri"/>
          <w:sz w:val="18"/>
          <w:szCs w:val="18"/>
        </w:rPr>
      </w:pPr>
      <w:r w:rsidRPr="00EE1340">
        <w:rPr>
          <w:rFonts w:ascii="Calibri" w:hAnsi="Calibri" w:cs="Calibri"/>
          <w:b/>
          <w:bCs/>
          <w:sz w:val="18"/>
          <w:szCs w:val="18"/>
        </w:rPr>
        <w:t>Conclusions</w:t>
      </w:r>
      <w:r w:rsidRPr="00EE1340">
        <w:rPr>
          <w:rFonts w:ascii="Calibri" w:hAnsi="Calibri" w:cs="Calibri"/>
          <w:sz w:val="18"/>
          <w:szCs w:val="18"/>
        </w:rPr>
        <w:t xml:space="preserve">: NPT positively impacted participants' IR perceptions and understanding. Findings highlight NPT's potential in inspiring future interventional radiologists and addressing knowledge gaps. Integrating IR education in medical curricula, combined with active engagement, could enhance patient </w:t>
      </w:r>
      <w:proofErr w:type="gramStart"/>
      <w:r w:rsidRPr="00EE1340">
        <w:rPr>
          <w:rFonts w:ascii="Calibri" w:hAnsi="Calibri" w:cs="Calibri"/>
          <w:sz w:val="18"/>
          <w:szCs w:val="18"/>
        </w:rPr>
        <w:t>care</w:t>
      </w:r>
      <w:proofErr w:type="gramEnd"/>
      <w:r w:rsidRPr="00EE1340">
        <w:rPr>
          <w:rFonts w:ascii="Calibri" w:hAnsi="Calibri" w:cs="Calibri"/>
          <w:sz w:val="18"/>
          <w:szCs w:val="18"/>
        </w:rPr>
        <w:t xml:space="preserve"> and nurture a diverse IR workforce. The NPT model emerges as a promising strategy to bridge conventional curricula and emerging medical subspecialties, ultimately enriching medical education.</w:t>
      </w:r>
    </w:p>
    <w:p w14:paraId="2558F55E" w14:textId="41236EC9" w:rsidR="009D4C11" w:rsidRDefault="005B3D22" w:rsidP="00EE1340">
      <w:pPr>
        <w:jc w:val="both"/>
        <w:rPr>
          <w:rFonts w:ascii="Calibri" w:hAnsi="Calibri" w:cs="Calibri"/>
          <w:sz w:val="18"/>
          <w:szCs w:val="18"/>
        </w:rPr>
      </w:pPr>
      <w:r>
        <w:rPr>
          <w:rFonts w:ascii="Calibri"/>
          <w:noProof/>
          <w:sz w:val="4"/>
          <w:lang w:val="en-IN" w:eastAsia="en-IN"/>
        </w:rPr>
        <mc:AlternateContent>
          <mc:Choice Requires="wpg">
            <w:drawing>
              <wp:inline distT="0" distB="0" distL="0" distR="0" wp14:anchorId="075DE054" wp14:editId="52BB9EB9">
                <wp:extent cx="3165475" cy="19685"/>
                <wp:effectExtent l="0" t="0" r="9525" b="571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5475" cy="1968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FFFC8A" id="Group 4" o:spid="_x0000_s1026" style="width:249.25pt;height:1.55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kQ/CgIAAGkEAAAOAAAAZHJzL2Uyb0RvYy54bWykVMmS2yAQvacq/0Bxj7XEVhyV5TnM4ouT&#13;&#10;uGomH4ABSVTYCrBl/30apLFnOaRqcsGgbl6/97rx6uakJDpy54XRDS5mOUZcU8OE7hr8++nhyxIj&#13;&#10;H4hmRBrNG3zmHt+sP39aDbbmpemNZNwhANG+HmyD+xBsnWWe9lwRPzOWawi2xikS4Oi6jDkyALqS&#13;&#10;WZnnVTYYx6wzlHsPX+/GIF4n/LblNPxqW88Dkg0GbiGtLq37uGbrFak7R2wv6ESDfICFIkJD0QvU&#13;&#10;HQkEHZx4B6UEdcabNsyoUZlpW0F50gBqivyNmo0zB5u0dPXQ2YtNYO0bnz4MS38eN84+2p0b2cN2&#13;&#10;a+gfD75kg+3ql/F47sZktB9+GAb9JIdgkvBT61SEAEnolPw9X/zlp4AofPxaVIv5twVGFGLF92q5&#13;&#10;GP2nPTTp3S3a30/3qrIqxkvz1LGM1GO5RHGiFFsOM+SvNvn/s+mxJ5Yn9320YeeQYEAb6GuiQPpW&#13;&#10;aI6SglgYMm71zoFv8eTB0H96VMJAghHwk6bw2aWqLCe1r8WS2jofNtwoFDcNlkAgeU+OWx9ix64p&#13;&#10;sRXaPAgpE7bUaIBKi3mepxveSMFiNOZ51+1vpUNHEh9JPs+Xz4VfpcEwapbQek7Y/bQPRMhxD9Wl&#13;&#10;TmMz6h+d2Bt2TrZAr1J7psGCeU6Ep7cXH8zLc8q6/kOs/wIAAP//AwBQSwMEFAAGAAgAAAAhAL5P&#13;&#10;IB7fAAAACAEAAA8AAABkcnMvZG93bnJldi54bWxMj09Lw0AQxe+C32EZwZvdxFqpaTal1D+nUrAV&#13;&#10;xNs0mSah2dmQ3Sbpt3f0opcHw+O9eb90OdpG9dT52rGBeBKBIs5dUXNp4GP/ejcH5QNygY1jMnAh&#13;&#10;D8vs+irFpHADv1O/C6WSEvYJGqhCaBOtfV6RRT9xLbF4R9dZDHJ2pS46HKTcNvo+ih61xZrlQ4Ut&#13;&#10;rSvKT7uzNfA24LCaxi/95nRcX772s+3nJiZjbm/G54XIagEq0Bj+EvDDIPshk2EHd+bCq8aA0IRf&#13;&#10;Fe/haT4DdTAwjUFnqf4PkH0DAAD//wMAUEsBAi0AFAAGAAgAAAAhALaDOJL+AAAA4QEAABMAAAAA&#13;&#10;AAAAAAAAAAAAAAAAAFtDb250ZW50X1R5cGVzXS54bWxQSwECLQAUAAYACAAAACEAOP0h/9YAAACU&#13;&#10;AQAACwAAAAAAAAAAAAAAAAAvAQAAX3JlbHMvLnJlbHNQSwECLQAUAAYACAAAACEAAXJEPwoCAABp&#13;&#10;BAAADgAAAAAAAAAAAAAAAAAuAgAAZHJzL2Uyb0RvYy54bWxQSwECLQAUAAYACAAAACEAvk8gHt8A&#13;&#10;AAAIAQAADwAAAAAAAAAAAAAAAABkBAAAZHJzL2Rvd25yZXYueG1sUEsFBgAAAAAEAAQA8wAAAHAF&#13;&#10;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393584E0" w14:textId="45743D7D" w:rsidR="009D4C11" w:rsidRDefault="005B3D22" w:rsidP="00EE1340">
      <w:pPr>
        <w:jc w:val="both"/>
        <w:rPr>
          <w:rFonts w:ascii="Calibri" w:hAnsi="Calibri" w:cs="Calibri"/>
          <w:sz w:val="18"/>
          <w:szCs w:val="18"/>
        </w:rPr>
      </w:pPr>
      <w:r>
        <w:rPr>
          <w:rFonts w:ascii="Calibri" w:hAnsi="Calibri" w:cs="Calibri"/>
          <w:noProof/>
          <w:sz w:val="18"/>
          <w:szCs w:val="18"/>
        </w:rPr>
        <w:drawing>
          <wp:anchor distT="0" distB="0" distL="114300" distR="114300" simplePos="0" relativeHeight="251658240" behindDoc="0" locked="0" layoutInCell="1" allowOverlap="1" wp14:anchorId="39799E60" wp14:editId="1767C24C">
            <wp:simplePos x="0" y="0"/>
            <wp:positionH relativeFrom="column">
              <wp:posOffset>2540</wp:posOffset>
            </wp:positionH>
            <wp:positionV relativeFrom="paragraph">
              <wp:posOffset>69100</wp:posOffset>
            </wp:positionV>
            <wp:extent cx="554359" cy="605927"/>
            <wp:effectExtent l="0" t="0" r="4445" b="3810"/>
            <wp:wrapNone/>
            <wp:docPr id="1604485200" name="Picture 1"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485200" name="Picture 1" descr="A person in a suit and ti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4359" cy="605927"/>
                    </a:xfrm>
                    <a:prstGeom prst="rect">
                      <a:avLst/>
                    </a:prstGeom>
                  </pic:spPr>
                </pic:pic>
              </a:graphicData>
            </a:graphic>
            <wp14:sizeRelH relativeFrom="page">
              <wp14:pctWidth>0</wp14:pctWidth>
            </wp14:sizeRelH>
            <wp14:sizeRelV relativeFrom="page">
              <wp14:pctHeight>0</wp14:pctHeight>
            </wp14:sizeRelV>
          </wp:anchor>
        </w:drawing>
      </w:r>
    </w:p>
    <w:p w14:paraId="054A13AE" w14:textId="72874265" w:rsidR="009D4C11" w:rsidRDefault="009D4C11" w:rsidP="00EE1340">
      <w:pPr>
        <w:jc w:val="both"/>
        <w:rPr>
          <w:rFonts w:ascii="Calibri" w:hAnsi="Calibri" w:cs="Calibri"/>
          <w:sz w:val="18"/>
          <w:szCs w:val="18"/>
        </w:rPr>
      </w:pPr>
    </w:p>
    <w:p w14:paraId="0500073E" w14:textId="7D692318" w:rsidR="009D4C11" w:rsidRDefault="009D4C11" w:rsidP="00EE1340">
      <w:pPr>
        <w:jc w:val="both"/>
        <w:rPr>
          <w:rFonts w:ascii="Calibri" w:hAnsi="Calibri" w:cs="Calibri"/>
          <w:sz w:val="18"/>
          <w:szCs w:val="18"/>
        </w:rPr>
      </w:pPr>
    </w:p>
    <w:p w14:paraId="6BF2E144" w14:textId="6C0191DE" w:rsidR="005B3D22" w:rsidRDefault="005B3D22" w:rsidP="00EE1340">
      <w:pPr>
        <w:jc w:val="both"/>
        <w:rPr>
          <w:rFonts w:ascii="Calibri" w:hAnsi="Calibri" w:cs="Calibri"/>
          <w:sz w:val="18"/>
          <w:szCs w:val="18"/>
        </w:rPr>
      </w:pPr>
    </w:p>
    <w:p w14:paraId="514454CA" w14:textId="77777777" w:rsidR="005B3D22" w:rsidRPr="00EE1340" w:rsidRDefault="005B3D22" w:rsidP="00EE1340">
      <w:pPr>
        <w:jc w:val="both"/>
        <w:rPr>
          <w:rFonts w:ascii="Calibri" w:hAnsi="Calibri" w:cs="Calibri"/>
          <w:sz w:val="18"/>
          <w:szCs w:val="18"/>
        </w:rPr>
      </w:pPr>
    </w:p>
    <w:p w14:paraId="3A02B664" w14:textId="44B6668A" w:rsidR="009D4C11" w:rsidRPr="009D4C11" w:rsidRDefault="005973B9" w:rsidP="009D4C11">
      <w:pPr>
        <w:pStyle w:val="Heading3"/>
        <w:spacing w:before="74"/>
        <w:ind w:left="0"/>
        <w:rPr>
          <w:color w:val="FFFFFF" w:themeColor="background1"/>
        </w:rPr>
      </w:pPr>
      <w:r>
        <w:rPr>
          <w:color w:val="BF5A14"/>
        </w:rPr>
        <w:t>Recent Publications (minimum 5)</w:t>
      </w:r>
      <w:r w:rsidR="009D4C11">
        <w:rPr>
          <w:color w:val="BF5A14"/>
        </w:rPr>
        <w:t xml:space="preserve"> </w:t>
      </w:r>
      <w:r w:rsidR="009D4C11" w:rsidRPr="009D4C11">
        <w:rPr>
          <w:color w:val="FFFFFF" w:themeColor="background1"/>
        </w:rPr>
        <w:fldChar w:fldCharType="begin"/>
      </w:r>
      <w:r w:rsidR="009D4C11">
        <w:rPr>
          <w:color w:val="FFFFFF" w:themeColor="background1"/>
        </w:rPr>
        <w:instrText xml:space="preserve"> ADDIN ZOTERO_ITEM CSL_CITATION {"citationID":"oBjq2BrZ","properties":{"formattedCitation":"(1\\uc0\\u8211{}8)","plainCitation":"(1–8)","noteIndex":0},"citationItems":[{"id":2503,"uris":["http://zotero.org/users/8326479/items/567P6X9E"],"itemData":{"id":2503,"type":"article-journal","container-title":"Advances in Medical Education and Practice","DOI":"10.2147/AMEP.S402920","page":"707-712","title":"Assessment of Factors That Students Perceive to Affect Their Virtual Learning of Clinical Skills for OSCE","volume":"Volume 14","author":[{"family":"Peramuna Gamage","given":"Movin"},{"family":"Baskaran","given":"Ravanth"},{"family":"Mukhopadhyay","given":"Srinjay"},{"family":"Dalavaye","given":"Nishaanth"},{"family":"Leveridge","given":"Becky"},{"family":"Ganesananthan","given":"Sashiananthan"},{"family":"Spencer","given":"Robert"},{"family":"Manivannan","given":"Susruta"},{"family":"Zaben","given":"Malik"}],"issued":{"date-parts":[["2023"]]}}},{"id":2477,"uris":["http://zotero.org/users/8326479/items/4LTI948D"],"itemData":{"id":2477,"type":"article-journal","container-title":"BMC Medical Education","DOI":"10.1186/s12909-022-03970-y","issue":"1","page":"128-128","title":"Enhancing medical students` confidence and performance in integrated structured clinical examinations (ISCE) through a novel near-peer, mixed model approach during the COVID-19 pandemic","volume":"23","author":[{"family":"Baskaran","given":"Ravanth"},{"family":"Mukhopadhyay","given":"Srinjay"},{"family":"Ganesananthan","given":"Sashiananthan"},{"family":"Gamage","given":"Movin Peramuna"},{"family":"Dalavaye","given":"Nishaanth"},{"family":"Ng","given":"Vincent"},{"family":"Bennett","given":"Richard"},{"family":"Srinivasan","given":"Sripradha"},{"family":"Sureshkumarnair","given":"Parvathy"},{"family":"Spencer","given":"Robert"},{"family":"Bhatt","given":"Harsh"},{"family":"Manivannan","given":"Susruta"},{"family":"Zaben","given":"Malik"}],"issued":{"date-parts":[["2023"]]}}},{"id":4712,"uris":["http://zotero.org/users/8326479/items/I2P5CB3X"],"itemData":{"id":4712,"type":"article-journal","container-title":"Expert Review of Neurotherapeutics","DOI":"10.1080/14737175.2023.2181696","ISSN":"1473-7175, 1744-8360","issue":"3","journalAbbreviation":"Expert Review of Neurotherapeutics","language":"en","page":"281-295","source":"DOI.org (Crossref)","title":"Comparing the effects of medical cannabis for chronic pain patients with and without co-morbid anxiety: A cohort study","title-short":"Comparing the effects of medical cannabis for chronic pain patients with and without co-morbid anxiety","volume":"23","author":[{"family":"Bapir","given":"Lara"},{"family":"Erridge","given":"Simon"},{"family":"Nicholas","given":"Martha"},{"family":"Pillai","given":"Manaswini"},{"family":"Dalavaye","given":"Nishaanth"},{"family":"Holvey","given":"Carl"},{"family":"Coomber","given":"Ross"},{"family":"Hoare","given":"Jonathan"},{"family":"Khan","given":"Shaheen"},{"family":"Weatherall","given":"Mark W"},{"family":"Rucker","given":"James J"},{"family":"Platt","given":"Michael"},{"family":"Sodergren","given":"Mikael H"}],"issued":{"date-parts":[["2023",3,4]]}}},{"id":4708,"uris":["http://zotero.org/users/8326479/items/7VCGS4KK"],"itemData":{"id":4708,"type":"article-journal","container-title":"Expert Review of Neurotherapeutics","DOI":"10.1080/14737175.2023.2174017","ISSN":"1473-7175, 1744-8360","issue":"1","journalAbbreviation":"Expert Review of Neurotherapeutics","language":"en","page":"85-96","source":"DOI.org (Crossref)","title":"UK medical cannabis registry: assessment of clinical outcomes in patients with headache disorders","title-short":"UK medical cannabis registry","volume":"23","author":[{"family":"Nicholas","given":"Martha"},{"family":"Erridge","given":"Simon"},{"family":"Bapir","given":"Lara"},{"family":"Pillai","given":"Manaswini"},{"family":"Dalavaye","given":"Nishaanth"},{"family":"Holvey","given":"Carl"},{"family":"Coomber","given":"Ross"},{"family":"Rucker","given":"James J"},{"family":"Weatherall","given":"Mark W"},{"family":"Sodergren","given":"Mikael H"}],"issued":{"date-parts":[["2023",1,2]]}}},{"id":4710,"uris":["http://zotero.org/users/8326479/items/8SNKXUQX"],"itemData":{"id":4710,"type":"article-journal","container-title":"Expert Review of Gastroenterology &amp; Hepatology","DOI":"10.1080/17474124.2022.2161046","ISSN":"1747-4124, 1747-4132","issue":"1","journalAbbreviation":"Expert Review of Gastroenterology &amp; Hepatology","language":"en","page":"85-98","source":"DOI.org (Crossref)","title":"The effect of medical cannabis in inflammatory bowel disease: analysis from the UK Medical Cannabis Registry","title-short":"The effect of medical cannabis in inflammatory bowel disease","volume":"17","author":[{"family":"Dalavaye","given":"Nishaanth"},{"family":"Erridge","given":"Simon"},{"family":"Nicholas","given":"Martha"},{"family":"Pillai","given":"Manaswini"},{"family":"Bapir","given":"Lara"},{"family":"Holvey","given":"Carl"},{"family":"Coomber","given":"Ross"},{"family":"Rucker","given":"James J"},{"family":"Hoare","given":"Jonathan"},{"family":"Sodergren","given":"Mikael H"}],"issued":{"date-parts":[["2023",1,2]]}},"label":"page"},{"id":4714,"uris":["http://zotero.org/users/8326479/items/T956PLZC"],"itemData":{"id":4714,"type":"article-journal","container-title":"Expert Review of Neurotherapeutics","DOI":"10.1080/14737175.2022.2155139","ISSN":"1473-7175, 1744-8360","issue":"11-12","journalAbbreviation":"Expert Review of Neurotherapeutics","language":"en","page":"1009-1018","source":"DOI.org (Crossref)","title":"Assessment of clinical outcomes in patients with post-traumatic stress disorder: analysis from the UK Medical Cannabis Registry","title-short":"Assessment of clinical outcomes in patients with post-traumatic stress disorder","volume":"22","author":[{"family":"Pillai","given":"Manaswini"},{"family":"Erridge","given":"Simon"},{"family":"Bapir","given":"Lara"},{"family":"Nicholas","given":"Martha"},{"family":"Dalavaye","given":"Nishaanth"},{"family":"Holvey","given":"Carl"},{"family":"Coomber","given":"Ross"},{"family":"Barros","given":"Daniela"},{"family":"Bhoskar","given":"Urmila"},{"family":"Mwimba","given":"Gracia"},{"family":"Praveen","given":"Kavita"},{"family":"Symeon","given":"Chris"},{"family":"Sachdeva-Mohan","given":"Simmi"},{"family":"Rucker","given":"James J"},{"family":"Sodergren","given":"Mikael H"}],"issued":{"date-parts":[["2022",11,2]]}}},{"id":2397,"uris":["http://zotero.org/users/8326479/items/9BIAE48A"],"itemData":{"id":2397,"type":"article-journal","container-title":"Advances in Medical Education and Practice","DOI":"10.2147/AMEP.S368218","page":"781-788","title":"Assessing the Publicity and Reach of Peer-Led Online Medical Teaching: A Single-Event Evaluation","volume":"Volume 13","author":[{"family":"Mukhopadhyay","given":"Srinjay"},{"family":"Baskaran","given":"Ravanth"},{"family":"Peramuna Gamage","given":"Movin"},{"family":"Dalavaye","given":"Nishaanth"},{"family":"Ng","given":"Wing Sum Vincent"},{"family":"Srinivasan","given":"Sripradha"},{"family":"Ganesananthan","given":"Sashiananthan"},{"family":"Rutherford","given":"Stephen"}],"issued":{"date-parts":[["2022"]]}}},{"id":2375,"uris":["http://zotero.org/users/8326479/items/HDF6BDV3"],"itemData":{"id":2375,"type":"article-journal","container-title":"Advances in Medical Education and Practice","DOI":"10.2147/AMEP.S356986","page":"121-122","title":"A Response to “Assessing Medical Students’ Knowledge of Genetics: Basis for Improving Genetics Curriculum for Future Clinical Practice” [Letter]","volume":"Volume 13","author":[{"family":"Dalavaye","given":"Nishaanth"}],"issued":{"date-parts":[["2022"]]}}}],"schema":"https://github.com/citation-style-language/schema/raw/master/csl-citation.json"} </w:instrText>
      </w:r>
      <w:r w:rsidR="009D4C11" w:rsidRPr="009D4C11">
        <w:rPr>
          <w:color w:val="FFFFFF" w:themeColor="background1"/>
        </w:rPr>
        <w:fldChar w:fldCharType="separate"/>
      </w:r>
      <w:r w:rsidR="009D4C11" w:rsidRPr="009D4C11">
        <w:rPr>
          <w:color w:val="FFFFFF"/>
        </w:rPr>
        <w:t>(1–8)</w:t>
      </w:r>
      <w:r w:rsidR="009D4C11" w:rsidRPr="009D4C11">
        <w:rPr>
          <w:color w:val="FFFFFF" w:themeColor="background1"/>
        </w:rPr>
        <w:fldChar w:fldCharType="end"/>
      </w:r>
    </w:p>
    <w:p w14:paraId="7464A58B" w14:textId="77777777" w:rsidR="00AE3E37" w:rsidRPr="008756E6" w:rsidRDefault="00AE3E37" w:rsidP="008756E6">
      <w:pPr>
        <w:tabs>
          <w:tab w:val="left" w:pos="384"/>
        </w:tabs>
        <w:ind w:right="117"/>
      </w:pPr>
    </w:p>
    <w:p w14:paraId="67572479" w14:textId="77777777" w:rsidR="009D4C11" w:rsidRPr="009D4C11" w:rsidRDefault="008756E6" w:rsidP="009D4C11">
      <w:pPr>
        <w:pStyle w:val="Bibliography"/>
        <w:rPr>
          <w:rFonts w:ascii="Calibri" w:hAnsi="Calibri" w:cs="Calibri"/>
          <w:sz w:val="18"/>
        </w:rPr>
      </w:pPr>
      <w:r>
        <w:rPr>
          <w:rFonts w:ascii="Calibri" w:hAnsi="Calibri"/>
        </w:rPr>
        <w:t xml:space="preserve">   </w:t>
      </w:r>
      <w:r w:rsidR="009D4C11" w:rsidRPr="009D4C11">
        <w:rPr>
          <w:rFonts w:ascii="Calibri" w:hAnsi="Calibri"/>
          <w:sz w:val="18"/>
          <w:szCs w:val="18"/>
        </w:rPr>
        <w:fldChar w:fldCharType="begin"/>
      </w:r>
      <w:r w:rsidR="009D4C11" w:rsidRPr="009D4C11">
        <w:rPr>
          <w:rFonts w:ascii="Calibri" w:hAnsi="Calibri"/>
          <w:sz w:val="18"/>
          <w:szCs w:val="18"/>
        </w:rPr>
        <w:instrText xml:space="preserve"> ADDIN ZOTERO_BIBL {"uncited":[],"omitted":[],"custom":[]} CSL_BIBLIOGRAPHY </w:instrText>
      </w:r>
      <w:r w:rsidR="009D4C11" w:rsidRPr="009D4C11">
        <w:rPr>
          <w:rFonts w:ascii="Calibri" w:hAnsi="Calibri"/>
          <w:sz w:val="18"/>
          <w:szCs w:val="18"/>
        </w:rPr>
        <w:fldChar w:fldCharType="separate"/>
      </w:r>
      <w:r w:rsidR="009D4C11" w:rsidRPr="009D4C11">
        <w:rPr>
          <w:rFonts w:ascii="Calibri" w:hAnsi="Calibri" w:cs="Calibri"/>
          <w:sz w:val="18"/>
        </w:rPr>
        <w:t>1.</w:t>
      </w:r>
      <w:r w:rsidR="009D4C11" w:rsidRPr="009D4C11">
        <w:rPr>
          <w:rFonts w:ascii="Calibri" w:hAnsi="Calibri" w:cs="Calibri"/>
          <w:sz w:val="18"/>
        </w:rPr>
        <w:tab/>
        <w:t xml:space="preserve">Peramuna Gamage M, Baskaran R, Mukhopadhyay S, Dalavaye N, </w:t>
      </w:r>
      <w:proofErr w:type="spellStart"/>
      <w:r w:rsidR="009D4C11" w:rsidRPr="009D4C11">
        <w:rPr>
          <w:rFonts w:ascii="Calibri" w:hAnsi="Calibri" w:cs="Calibri"/>
          <w:sz w:val="18"/>
        </w:rPr>
        <w:t>Leveridge</w:t>
      </w:r>
      <w:proofErr w:type="spellEnd"/>
      <w:r w:rsidR="009D4C11" w:rsidRPr="009D4C11">
        <w:rPr>
          <w:rFonts w:ascii="Calibri" w:hAnsi="Calibri" w:cs="Calibri"/>
          <w:sz w:val="18"/>
        </w:rPr>
        <w:t xml:space="preserve"> B, </w:t>
      </w:r>
      <w:proofErr w:type="spellStart"/>
      <w:r w:rsidR="009D4C11" w:rsidRPr="009D4C11">
        <w:rPr>
          <w:rFonts w:ascii="Calibri" w:hAnsi="Calibri" w:cs="Calibri"/>
          <w:sz w:val="18"/>
        </w:rPr>
        <w:t>Ganesananthan</w:t>
      </w:r>
      <w:proofErr w:type="spellEnd"/>
      <w:r w:rsidR="009D4C11" w:rsidRPr="009D4C11">
        <w:rPr>
          <w:rFonts w:ascii="Calibri" w:hAnsi="Calibri" w:cs="Calibri"/>
          <w:sz w:val="18"/>
        </w:rPr>
        <w:t xml:space="preserve"> S, et al. Assessment of Factors That Students Perceive to Affect Their Virtual Learning of Clinical Skills for OSCE. Advances in Medical Education and Practice. </w:t>
      </w:r>
      <w:proofErr w:type="gramStart"/>
      <w:r w:rsidR="009D4C11" w:rsidRPr="009D4C11">
        <w:rPr>
          <w:rFonts w:ascii="Calibri" w:hAnsi="Calibri" w:cs="Calibri"/>
          <w:sz w:val="18"/>
        </w:rPr>
        <w:t>2023;Volume</w:t>
      </w:r>
      <w:proofErr w:type="gramEnd"/>
      <w:r w:rsidR="009D4C11" w:rsidRPr="009D4C11">
        <w:rPr>
          <w:rFonts w:ascii="Calibri" w:hAnsi="Calibri" w:cs="Calibri"/>
          <w:sz w:val="18"/>
        </w:rPr>
        <w:t xml:space="preserve"> 14:707–12. </w:t>
      </w:r>
    </w:p>
    <w:p w14:paraId="151F2AC6" w14:textId="77777777" w:rsidR="009D4C11" w:rsidRPr="009D4C11" w:rsidRDefault="009D4C11" w:rsidP="009D4C11">
      <w:pPr>
        <w:pStyle w:val="Bibliography"/>
        <w:rPr>
          <w:rFonts w:ascii="Calibri" w:hAnsi="Calibri" w:cs="Calibri"/>
          <w:sz w:val="18"/>
        </w:rPr>
      </w:pPr>
      <w:r w:rsidRPr="009D4C11">
        <w:rPr>
          <w:rFonts w:ascii="Calibri" w:hAnsi="Calibri" w:cs="Calibri"/>
          <w:sz w:val="18"/>
        </w:rPr>
        <w:t>2.</w:t>
      </w:r>
      <w:r w:rsidRPr="009D4C11">
        <w:rPr>
          <w:rFonts w:ascii="Calibri" w:hAnsi="Calibri" w:cs="Calibri"/>
          <w:sz w:val="18"/>
        </w:rPr>
        <w:tab/>
        <w:t xml:space="preserve">Baskaran R, Mukhopadhyay S, </w:t>
      </w:r>
      <w:proofErr w:type="spellStart"/>
      <w:r w:rsidRPr="009D4C11">
        <w:rPr>
          <w:rFonts w:ascii="Calibri" w:hAnsi="Calibri" w:cs="Calibri"/>
          <w:sz w:val="18"/>
        </w:rPr>
        <w:t>Ganesananthan</w:t>
      </w:r>
      <w:proofErr w:type="spellEnd"/>
      <w:r w:rsidRPr="009D4C11">
        <w:rPr>
          <w:rFonts w:ascii="Calibri" w:hAnsi="Calibri" w:cs="Calibri"/>
          <w:sz w:val="18"/>
        </w:rPr>
        <w:t xml:space="preserve"> S, Gamage MP, Dalavaye N, Ng V, et al. Enhancing medical students` confidence and performance in integrated structured clinical examinations (ISCE) through a novel near-peer, mixed model approach during the COVID-19 pandemic. BMC Medical Education. 2023;23(1):128–128. </w:t>
      </w:r>
    </w:p>
    <w:p w14:paraId="67B8A839" w14:textId="77777777" w:rsidR="009D4C11" w:rsidRPr="009D4C11" w:rsidRDefault="009D4C11" w:rsidP="009D4C11">
      <w:pPr>
        <w:pStyle w:val="Bibliography"/>
        <w:rPr>
          <w:rFonts w:ascii="Calibri" w:hAnsi="Calibri" w:cs="Calibri"/>
          <w:sz w:val="18"/>
        </w:rPr>
      </w:pPr>
      <w:r w:rsidRPr="009D4C11">
        <w:rPr>
          <w:rFonts w:ascii="Calibri" w:hAnsi="Calibri" w:cs="Calibri"/>
          <w:sz w:val="18"/>
        </w:rPr>
        <w:t>3.</w:t>
      </w:r>
      <w:r w:rsidRPr="009D4C11">
        <w:rPr>
          <w:rFonts w:ascii="Calibri" w:hAnsi="Calibri" w:cs="Calibri"/>
          <w:sz w:val="18"/>
        </w:rPr>
        <w:tab/>
        <w:t xml:space="preserve">Bapir L, Erridge S, Nicholas M, Pillai M, Dalavaye N, Holvey C, et al. Comparing the effects of medical cannabis for chronic pain patients with and without co-morbid anxiety: A cohort study. Expert Review of Neurotherapeutics. 2023 Mar 4;23(3):281–95. </w:t>
      </w:r>
    </w:p>
    <w:p w14:paraId="321A78B0" w14:textId="77777777" w:rsidR="009D4C11" w:rsidRPr="009D4C11" w:rsidRDefault="009D4C11" w:rsidP="009D4C11">
      <w:pPr>
        <w:pStyle w:val="Bibliography"/>
        <w:rPr>
          <w:rFonts w:ascii="Calibri" w:hAnsi="Calibri" w:cs="Calibri"/>
          <w:sz w:val="18"/>
        </w:rPr>
      </w:pPr>
      <w:r w:rsidRPr="009D4C11">
        <w:rPr>
          <w:rFonts w:ascii="Calibri" w:hAnsi="Calibri" w:cs="Calibri"/>
          <w:sz w:val="18"/>
        </w:rPr>
        <w:t>4.</w:t>
      </w:r>
      <w:r w:rsidRPr="009D4C11">
        <w:rPr>
          <w:rFonts w:ascii="Calibri" w:hAnsi="Calibri" w:cs="Calibri"/>
          <w:sz w:val="18"/>
        </w:rPr>
        <w:tab/>
        <w:t xml:space="preserve">Nicholas M, Erridge S, Bapir L, Pillai M, Dalavaye N, Holvey C, et al. UK medical cannabis registry: assessment of clinical outcomes in patients with headache disorders. Expert Review of Neurotherapeutics. 2023 Jan 2;23(1):85–96. </w:t>
      </w:r>
    </w:p>
    <w:p w14:paraId="3C94B395" w14:textId="77777777" w:rsidR="009D4C11" w:rsidRPr="009D4C11" w:rsidRDefault="009D4C11" w:rsidP="009D4C11">
      <w:pPr>
        <w:pStyle w:val="Bibliography"/>
        <w:rPr>
          <w:rFonts w:ascii="Calibri" w:hAnsi="Calibri" w:cs="Calibri"/>
          <w:sz w:val="18"/>
        </w:rPr>
      </w:pPr>
      <w:r w:rsidRPr="009D4C11">
        <w:rPr>
          <w:rFonts w:ascii="Calibri" w:hAnsi="Calibri" w:cs="Calibri"/>
          <w:sz w:val="18"/>
        </w:rPr>
        <w:t>5.</w:t>
      </w:r>
      <w:r w:rsidRPr="009D4C11">
        <w:rPr>
          <w:rFonts w:ascii="Calibri" w:hAnsi="Calibri" w:cs="Calibri"/>
          <w:sz w:val="18"/>
        </w:rPr>
        <w:tab/>
        <w:t xml:space="preserve">Dalavaye N, Erridge S, Nicholas M, Pillai M, Bapir L, Holvey C, et al. The effect of medical cannabis in inflammatory bowel disease: analysis from the UK Medical Cannabis Registry. Expert Review of Gastroenterology &amp; Hepatology. 2023 Jan 2;17(1):85–98. </w:t>
      </w:r>
    </w:p>
    <w:p w14:paraId="2FBA2516" w14:textId="77777777" w:rsidR="009D4C11" w:rsidRPr="009D4C11" w:rsidRDefault="009D4C11" w:rsidP="009D4C11">
      <w:pPr>
        <w:pStyle w:val="Bibliography"/>
        <w:rPr>
          <w:rFonts w:ascii="Calibri" w:hAnsi="Calibri" w:cs="Calibri"/>
          <w:sz w:val="18"/>
        </w:rPr>
      </w:pPr>
      <w:r w:rsidRPr="009D4C11">
        <w:rPr>
          <w:rFonts w:ascii="Calibri" w:hAnsi="Calibri" w:cs="Calibri"/>
          <w:sz w:val="18"/>
        </w:rPr>
        <w:t>6.</w:t>
      </w:r>
      <w:r w:rsidRPr="009D4C11">
        <w:rPr>
          <w:rFonts w:ascii="Calibri" w:hAnsi="Calibri" w:cs="Calibri"/>
          <w:sz w:val="18"/>
        </w:rPr>
        <w:tab/>
        <w:t xml:space="preserve">Pillai M, Erridge S, Bapir L, Nicholas M, Dalavaye N, Holvey C, et al. Assessment of clinical outcomes in patients with post-traumatic stress disorder: analysis from the UK Medical Cannabis Registry. Expert Review of Neurotherapeutics. 2022 Nov 2;22(11–12):1009–18. </w:t>
      </w:r>
    </w:p>
    <w:p w14:paraId="132D7B30" w14:textId="77777777" w:rsidR="009D4C11" w:rsidRPr="009D4C11" w:rsidRDefault="009D4C11" w:rsidP="009D4C11">
      <w:pPr>
        <w:pStyle w:val="Bibliography"/>
        <w:rPr>
          <w:rFonts w:ascii="Calibri" w:hAnsi="Calibri" w:cs="Calibri"/>
          <w:sz w:val="18"/>
        </w:rPr>
      </w:pPr>
      <w:r w:rsidRPr="009D4C11">
        <w:rPr>
          <w:rFonts w:ascii="Calibri" w:hAnsi="Calibri" w:cs="Calibri"/>
          <w:sz w:val="18"/>
        </w:rPr>
        <w:t>7.</w:t>
      </w:r>
      <w:r w:rsidRPr="009D4C11">
        <w:rPr>
          <w:rFonts w:ascii="Calibri" w:hAnsi="Calibri" w:cs="Calibri"/>
          <w:sz w:val="18"/>
        </w:rPr>
        <w:tab/>
        <w:t xml:space="preserve">Mukhopadhyay S, Baskaran R, Peramuna Gamage M, Dalavaye N, Ng WSV, Srinivasan S, et al. Assessing the Publicity and Reach of Peer-Led Online Medical Teaching: A Single-Event Evaluation. Advances in Medical Education and Practice. </w:t>
      </w:r>
      <w:proofErr w:type="gramStart"/>
      <w:r w:rsidRPr="009D4C11">
        <w:rPr>
          <w:rFonts w:ascii="Calibri" w:hAnsi="Calibri" w:cs="Calibri"/>
          <w:sz w:val="18"/>
        </w:rPr>
        <w:t>2022;Volume</w:t>
      </w:r>
      <w:proofErr w:type="gramEnd"/>
      <w:r w:rsidRPr="009D4C11">
        <w:rPr>
          <w:rFonts w:ascii="Calibri" w:hAnsi="Calibri" w:cs="Calibri"/>
          <w:sz w:val="18"/>
        </w:rPr>
        <w:t xml:space="preserve"> 13:781–8. </w:t>
      </w:r>
    </w:p>
    <w:p w14:paraId="52DB8AC5" w14:textId="77777777" w:rsidR="009D4C11" w:rsidRPr="009D4C11" w:rsidRDefault="009D4C11" w:rsidP="009D4C11">
      <w:pPr>
        <w:pStyle w:val="Bibliography"/>
        <w:rPr>
          <w:rFonts w:ascii="Calibri" w:hAnsi="Calibri" w:cs="Calibri"/>
          <w:sz w:val="18"/>
        </w:rPr>
      </w:pPr>
      <w:r w:rsidRPr="009D4C11">
        <w:rPr>
          <w:rFonts w:ascii="Calibri" w:hAnsi="Calibri" w:cs="Calibri"/>
          <w:sz w:val="18"/>
        </w:rPr>
        <w:t>8.</w:t>
      </w:r>
      <w:r w:rsidRPr="009D4C11">
        <w:rPr>
          <w:rFonts w:ascii="Calibri" w:hAnsi="Calibri" w:cs="Calibri"/>
          <w:sz w:val="18"/>
        </w:rPr>
        <w:tab/>
        <w:t xml:space="preserve">Dalavaye N. A Response to “Assessing Medical Students’ Knowledge of Genetics: Basis for Improving Genetics Curriculum for Future Clinical Practice” [Letter]. Advances in Medical Education and Practice. </w:t>
      </w:r>
      <w:proofErr w:type="gramStart"/>
      <w:r w:rsidRPr="009D4C11">
        <w:rPr>
          <w:rFonts w:ascii="Calibri" w:hAnsi="Calibri" w:cs="Calibri"/>
          <w:sz w:val="18"/>
        </w:rPr>
        <w:t>2022;Volume</w:t>
      </w:r>
      <w:proofErr w:type="gramEnd"/>
      <w:r w:rsidRPr="009D4C11">
        <w:rPr>
          <w:rFonts w:ascii="Calibri" w:hAnsi="Calibri" w:cs="Calibri"/>
          <w:sz w:val="18"/>
        </w:rPr>
        <w:t xml:space="preserve"> 13:121–2. </w:t>
      </w:r>
    </w:p>
    <w:p w14:paraId="542FB091" w14:textId="5FAE782E" w:rsidR="00EE1340" w:rsidRPr="009D4C11" w:rsidRDefault="009D4C11" w:rsidP="009D4C11">
      <w:pPr>
        <w:jc w:val="both"/>
        <w:rPr>
          <w:rFonts w:ascii="Calibri" w:hAnsi="Calibri"/>
          <w:sz w:val="18"/>
          <w:szCs w:val="18"/>
        </w:rPr>
        <w:sectPr w:rsidR="00EE1340" w:rsidRPr="009D4C11" w:rsidSect="00513E0A">
          <w:type w:val="continuous"/>
          <w:pgSz w:w="11910" w:h="16840"/>
          <w:pgMar w:top="567" w:right="601" w:bottom="839" w:left="618" w:header="720" w:footer="720" w:gutter="0"/>
          <w:cols w:num="2" w:space="720" w:equalWidth="0">
            <w:col w:w="5216" w:space="138"/>
            <w:col w:w="5337"/>
          </w:cols>
        </w:sectPr>
      </w:pPr>
      <w:r w:rsidRPr="009D4C11">
        <w:rPr>
          <w:rFonts w:ascii="Calibri" w:hAnsi="Calibri"/>
          <w:sz w:val="18"/>
          <w:szCs w:val="18"/>
        </w:rPr>
        <w:fldChar w:fldCharType="end"/>
      </w:r>
    </w:p>
    <w:p w14:paraId="704F00CE" w14:textId="32644A8E"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1DECCFC" w14:textId="390D87F9" w:rsidR="00AE3E37" w:rsidRDefault="005B3D22" w:rsidP="005B3D22">
      <w:pPr>
        <w:spacing w:before="41" w:line="154" w:lineRule="exact"/>
        <w:ind w:right="231"/>
        <w:jc w:val="both"/>
        <w:rPr>
          <w:rFonts w:ascii="Arial"/>
          <w:sz w:val="14"/>
        </w:rPr>
      </w:pPr>
      <w:r w:rsidRPr="005B3D22">
        <w:rPr>
          <w:rFonts w:ascii="Arial"/>
          <w:sz w:val="14"/>
        </w:rPr>
        <w:t xml:space="preserve">Nishaanth Dalavaye is a final year medical student </w:t>
      </w:r>
      <w:r>
        <w:rPr>
          <w:rFonts w:ascii="Arial"/>
          <w:sz w:val="14"/>
        </w:rPr>
        <w:t>at Cardiff University</w:t>
      </w:r>
      <w:r w:rsidRPr="005B3D22">
        <w:rPr>
          <w:rFonts w:ascii="Arial"/>
          <w:sz w:val="14"/>
        </w:rPr>
        <w:t xml:space="preserve">. Holding a </w:t>
      </w:r>
      <w:proofErr w:type="gramStart"/>
      <w:r w:rsidRPr="005B3D22">
        <w:rPr>
          <w:rFonts w:ascii="Arial"/>
          <w:sz w:val="14"/>
        </w:rPr>
        <w:t xml:space="preserve">First Class </w:t>
      </w:r>
      <w:proofErr w:type="spellStart"/>
      <w:r w:rsidRPr="005B3D22">
        <w:rPr>
          <w:rFonts w:ascii="Arial"/>
          <w:sz w:val="14"/>
        </w:rPr>
        <w:t>Honours</w:t>
      </w:r>
      <w:proofErr w:type="spellEnd"/>
      <w:proofErr w:type="gramEnd"/>
      <w:r w:rsidRPr="005B3D22">
        <w:rPr>
          <w:rFonts w:ascii="Arial"/>
          <w:sz w:val="14"/>
        </w:rPr>
        <w:t xml:space="preserve"> degree in BSc from Imperial College London, </w:t>
      </w:r>
      <w:proofErr w:type="spellStart"/>
      <w:r w:rsidRPr="005B3D22">
        <w:rPr>
          <w:rFonts w:ascii="Arial"/>
          <w:sz w:val="14"/>
        </w:rPr>
        <w:t>Nishaanth's</w:t>
      </w:r>
      <w:proofErr w:type="spellEnd"/>
      <w:r w:rsidRPr="005B3D22">
        <w:rPr>
          <w:rFonts w:ascii="Arial"/>
          <w:sz w:val="14"/>
        </w:rPr>
        <w:t xml:space="preserve"> academic focus has centered on Gastroenterology and Hepatology. </w:t>
      </w:r>
      <w:r>
        <w:rPr>
          <w:rFonts w:ascii="Arial"/>
          <w:sz w:val="14"/>
        </w:rPr>
        <w:t>His</w:t>
      </w:r>
      <w:r w:rsidRPr="005B3D22">
        <w:rPr>
          <w:rFonts w:ascii="Arial"/>
          <w:sz w:val="14"/>
        </w:rPr>
        <w:t xml:space="preserve"> academic journey is adorned with numerous peer-reviewed publications and presentations at prestigious national and international conferences.</w:t>
      </w:r>
      <w:r>
        <w:rPr>
          <w:rFonts w:ascii="Arial"/>
          <w:sz w:val="14"/>
        </w:rPr>
        <w:t xml:space="preserve"> </w:t>
      </w:r>
      <w:r w:rsidRPr="005B3D22">
        <w:rPr>
          <w:rFonts w:ascii="Arial"/>
          <w:sz w:val="14"/>
        </w:rPr>
        <w:t xml:space="preserve">Nishaanth is driven by a fervent passion for medical education. </w:t>
      </w:r>
      <w:r>
        <w:rPr>
          <w:rFonts w:ascii="Arial"/>
          <w:sz w:val="14"/>
        </w:rPr>
        <w:t>His is</w:t>
      </w:r>
      <w:r w:rsidRPr="005B3D22">
        <w:rPr>
          <w:rFonts w:ascii="Arial"/>
          <w:sz w:val="14"/>
        </w:rPr>
        <w:t xml:space="preserve"> </w:t>
      </w:r>
      <w:r>
        <w:rPr>
          <w:rFonts w:ascii="Arial"/>
          <w:sz w:val="14"/>
        </w:rPr>
        <w:t>the</w:t>
      </w:r>
      <w:r w:rsidRPr="005B3D22">
        <w:rPr>
          <w:rFonts w:ascii="Arial"/>
          <w:sz w:val="14"/>
        </w:rPr>
        <w:t xml:space="preserve"> co-founder of </w:t>
      </w:r>
      <w:proofErr w:type="spellStart"/>
      <w:r w:rsidRPr="005B3D22">
        <w:rPr>
          <w:rFonts w:ascii="Arial"/>
          <w:sz w:val="14"/>
        </w:rPr>
        <w:t>OSCeazy</w:t>
      </w:r>
      <w:proofErr w:type="spellEnd"/>
      <w:r w:rsidRPr="005B3D22">
        <w:rPr>
          <w:rFonts w:ascii="Arial"/>
          <w:sz w:val="14"/>
        </w:rPr>
        <w:t xml:space="preserve">, an international student-led medical education organization, which has emerged as the largest entity of its kind in the UK. </w:t>
      </w:r>
      <w:r>
        <w:rPr>
          <w:rFonts w:ascii="Arial"/>
          <w:sz w:val="14"/>
        </w:rPr>
        <w:t>He is</w:t>
      </w:r>
      <w:r w:rsidRPr="005B3D22">
        <w:rPr>
          <w:rFonts w:ascii="Arial"/>
          <w:sz w:val="14"/>
        </w:rPr>
        <w:t xml:space="preserve"> the visionary founder and creative force behind TachyTutorials, a YouTube channel exclusively dedicated to medical content</w:t>
      </w:r>
      <w:r>
        <w:rPr>
          <w:rFonts w:ascii="Arial"/>
          <w:sz w:val="14"/>
        </w:rPr>
        <w:t xml:space="preserve">. </w:t>
      </w:r>
    </w:p>
    <w:p w14:paraId="60B5F3CE" w14:textId="1C1506AF" w:rsidR="00AE3E37" w:rsidRPr="00513E0A" w:rsidRDefault="00A9710C" w:rsidP="00513E0A">
      <w:pPr>
        <w:spacing w:before="62"/>
        <w:ind w:left="4217" w:right="4235"/>
        <w:jc w:val="center"/>
        <w:rPr>
          <w:rFonts w:ascii="Arial"/>
          <w:sz w:val="14"/>
        </w:rPr>
        <w:sectPr w:rsidR="00AE3E37" w:rsidRPr="00513E0A">
          <w:type w:val="continuous"/>
          <w:pgSz w:w="11910" w:h="16840"/>
          <w:pgMar w:top="1740" w:right="600" w:bottom="840" w:left="620" w:header="720" w:footer="720" w:gutter="0"/>
          <w:cols w:space="720"/>
        </w:sectPr>
      </w:pPr>
      <w:r>
        <w:rPr>
          <w:rFonts w:ascii="Arial"/>
          <w:sz w:val="14"/>
        </w:rPr>
        <w:t>Email:</w:t>
      </w:r>
      <w:r w:rsidR="00D66938">
        <w:rPr>
          <w:rFonts w:ascii="Arial"/>
          <w:sz w:val="14"/>
        </w:rPr>
        <w:t xml:space="preserve"> dalavayen@cardiff.ac.uk</w:t>
      </w:r>
      <w:r w:rsidR="00292ED9">
        <w:rPr>
          <w:noProof/>
          <w:lang w:val="en-IN" w:eastAsia="en-IN"/>
        </w:rPr>
        <mc:AlternateContent>
          <mc:Choice Requires="wps">
            <w:drawing>
              <wp:anchor distT="0" distB="0" distL="0" distR="0" simplePos="0" relativeHeight="1072" behindDoc="0" locked="0" layoutInCell="1" allowOverlap="1" wp14:anchorId="3D166410" wp14:editId="1F097E4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F57041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C0668" w14:textId="77777777" w:rsidR="00340822" w:rsidRDefault="00340822">
      <w:r>
        <w:separator/>
      </w:r>
    </w:p>
  </w:endnote>
  <w:endnote w:type="continuationSeparator" w:id="0">
    <w:p w14:paraId="7CD5EEA2" w14:textId="77777777" w:rsidR="00340822" w:rsidRDefault="00340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C4BB" w14:textId="141DDA52"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41AFB2C7" wp14:editId="584D2DC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A015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41100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AFB2C7"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2ggx1QEAAJEDAAAOAAAAZHJzL2Uyb0RvYy54bWysU9tu2zAMfR+wfxD0vjhusaww4hRdiw4D&#13;&#10;ugvQ9QNoWbKN2aJGKbGzrx8lx+nWvQ17EWiROjznkN5eT0MvDpp8h7aU+WothbYK6842pXz6dv/m&#13;&#10;SgofwNbQo9WlPGovr3evX21HV+gLbLGvNQkGsb4YXSnbEFyRZV61egC/QqctJw3SAIE/qclqgpHR&#13;&#10;hz67WK832YhUO0KlvefbuzkpdwnfGK3CF2O8DqIvJXML6aR0VvHMdlsoGgLXdupEA/6BxQCd5aZn&#13;&#10;qDsIIPbU/QU1dIrQowkrhUOGxnRKJw2sJl+/UPPYgtNJC5vj3dkm//9g1efDo/tKIkzvceIBJhHe&#13;&#10;PaD67oXF2xZso2+IcGw11Nw4j5Zlo/PF6Wm02hc+glTjJ6x5yLAPmIAmQ0N0hXUKRucBHM+m6ykI&#13;&#10;FVvmm3f5JacU5y7zzdXmbWoBxfLakQ8fNA4iBqUkHmpCh8ODD5ENFEtJbGbxvuv7NNje/nHBhfEm&#13;&#10;sY+EZ+phqiaujioqrI+sg3DeE95rDlqkn1KMvCOl9D/2QFqK/qNlL+JCLQEtQbUEYBU/LWWQYg5v&#13;&#10;w7x4e0dd0zLy7LbFG/bLdEnKM4sTT557Unja0bhYv3+nquc/afcLAAD//wMAUEsDBBQABgAIAAAA&#13;&#10;IQAKUM9J5QAAABIBAAAPAAAAZHJzL2Rvd25yZXYueG1sTE9Nb8IwDL1P4j9ERtptJCCoSmmK0D5O&#13;&#10;k6aV7rBj2oQ2onG6JkD37+edtotl+z0/v5fvJ9ezqxmD9ShhuRDADDZeW2wlfFQvDymwEBVq1Xs0&#13;&#10;Er5NgH0xu8tVpv0NS3M9xpaRCIZMSehiHDLOQ9MZp8LCDwYJO/nRqUjj2HI9qhuJu56vhEi4Uxbp&#13;&#10;Q6cG89iZ5ny8OAmHTyyf7ddb/V6eSltVW4GvyVnK+/n0tKNy2AGLZop/F/CbgfxDQcZqf0EdWC9h&#13;&#10;I9YrohKw2aZLYERJ0pQy1rRK1tTxIuf/oxQ/AAAA//8DAFBLAQItABQABgAIAAAAIQC2gziS/gAA&#13;&#10;AOEBAAATAAAAAAAAAAAAAAAAAAAAAABbQ29udGVudF9UeXBlc10ueG1sUEsBAi0AFAAGAAgAAAAh&#13;&#10;ADj9If/WAAAAlAEAAAsAAAAAAAAAAAAAAAAALwEAAF9yZWxzLy5yZWxzUEsBAi0AFAAGAAgAAAAh&#13;&#10;AGHaCDHVAQAAkQMAAA4AAAAAAAAAAAAAAAAALgIAAGRycy9lMm9Eb2MueG1sUEsBAi0AFAAGAAgA&#13;&#10;AAAhAApQz0nlAAAAEgEAAA8AAAAAAAAAAAAAAAAALwQAAGRycy9kb3ducmV2LnhtbFBLBQYAAAAA&#13;&#10;BAAEAPMAAABBBQAAAAA=&#13;&#10;" filled="f" stroked="f">
              <v:textbox inset="0,0,0,0">
                <w:txbxContent>
                  <w:p w14:paraId="1CEA015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41100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7997AF6" wp14:editId="060F0E8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0B69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F9AA5F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97AF6"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PKB02AEAAJgDAAAOAAAAZHJzL2Uyb0RvYy54bWysU9tu2zAMfR+wfxD0vthpsC4w4hRdiw4D&#13;&#10;ugvQ7QMUWbaF2aJGKrGzrx8l2+kub8NeBEqUDs85pHY3Y9+Jk0Gy4Eq5XuVSGKehsq4p5dcvD6+2&#13;&#10;UlBQrlIdOFPKsyF5s3/5Yjf4wlxBC11lUDCIo2LwpWxD8EWWkW5Nr2gF3jhO1oC9CrzFJqtQDYze&#13;&#10;d9lVnl9nA2DlEbQh4tP7KSn3Cb+ujQ6f6ppMEF0pmVtIK6b1ENdsv1NFg8q3Vs801D+w6JV1XPQC&#13;&#10;da+CEke0f0H1ViMQ1GGloc+grq02SQOrWed/qHlqlTdJC5tD/mIT/T9Y/fH05D+jCONbGLmBSQT5&#13;&#10;R9DfSDi4a5VrzC0iDK1RFRdeR8uywVMxP41WU0ER5DB8gIqbrI4BEtBYYx9dYZ2C0bkB54vpZgxC&#13;&#10;x5Lr6/zNllOac5tNvt28TiVUsbz2SOGdgV7EoJTITU3o6vRIIbJRxXIlFnPwYLsuNbZzvx3wxXiS&#13;&#10;2EfCE/UwHkZhq1laFHOA6sxyEKZx4fHmoAX8IcXAo1JK+n5UaKTo3ju2JM7VEuASHJZAOc1PSxmk&#13;&#10;mMK7MM3f0aNtWkaeTHdwy7bVNil6ZjHT5fYnofOoxvn6dZ9uPX+o/U8AAAD//wMAUEsDBBQABgAI&#13;&#10;AAAAIQC3kRyO5QAAABMBAAAPAAAAZHJzL2Rvd25yZXYueG1sTE/LTsMwELwj8Q/WInGjdgskTRqn&#13;&#10;qnickCrScOjRSdzEarwOsduGv2d7gstqVrM7j2w92Z6d9eiNQwnzmQCmsXaNwVbCV/n+sATmg8JG&#13;&#10;9Q61hB/tYZ3f3mQqbdwFC33ehZaRCPpUSehCGFLOfd1pq/zMDRqJO7jRqkDr2PJmVBcStz1fCBFx&#13;&#10;qwySQ6cG/dLp+rg7WQmbPRZv5ntbfRaHwpRlIvAjOkp5fze9rmhsVsCCnsLfB1w7UH7IKVjlTth4&#13;&#10;1ktIHmPKH4h4TuII2PVkvhCEKkLRUxIDzzP+v0v+CwAA//8DAFBLAQItABQABgAIAAAAIQC2gziS&#13;&#10;/gAAAOEBAAATAAAAAAAAAAAAAAAAAAAAAABbQ29udGVudF9UeXBlc10ueG1sUEsBAi0AFAAGAAgA&#13;&#10;AAAhADj9If/WAAAAlAEAAAsAAAAAAAAAAAAAAAAALwEAAF9yZWxzLy5yZWxzUEsBAi0AFAAGAAgA&#13;&#10;AAAhAGM8oHTYAQAAmAMAAA4AAAAAAAAAAAAAAAAALgIAAGRycy9lMm9Eb2MueG1sUEsBAi0AFAAG&#13;&#10;AAgAAAAhALeRHI7lAAAAEwEAAA8AAAAAAAAAAAAAAAAAMgQAAGRycy9kb3ducmV2LnhtbFBLBQYA&#13;&#10;AAAABAAEAPMAAABEBQAAAAA=&#13;&#10;" filled="f" stroked="f">
              <v:textbox inset="0,0,0,0">
                <w:txbxContent>
                  <w:p w14:paraId="2AF0B69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F9AA5F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CC2BA" w14:textId="77777777" w:rsidR="00340822" w:rsidRDefault="00340822">
      <w:r>
        <w:separator/>
      </w:r>
    </w:p>
  </w:footnote>
  <w:footnote w:type="continuationSeparator" w:id="0">
    <w:p w14:paraId="72FFFDFF" w14:textId="77777777" w:rsidR="00340822" w:rsidRDefault="00340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734A3" w14:textId="76413AD2"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79A24AB"/>
    <w:multiLevelType w:val="hybridMultilevel"/>
    <w:tmpl w:val="FF1ED4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2075472709">
    <w:abstractNumId w:val="0"/>
  </w:num>
  <w:num w:numId="2" w16cid:durableId="469595356">
    <w:abstractNumId w:val="2"/>
  </w:num>
  <w:num w:numId="3" w16cid:durableId="603539868">
    <w:abstractNumId w:val="0"/>
    <w:lvlOverride w:ilvl="0">
      <w:startOverride w:val="1"/>
    </w:lvlOverride>
    <w:lvlOverride w:ilvl="1"/>
    <w:lvlOverride w:ilvl="2"/>
    <w:lvlOverride w:ilvl="3"/>
    <w:lvlOverride w:ilvl="4"/>
    <w:lvlOverride w:ilvl="5"/>
    <w:lvlOverride w:ilvl="6"/>
    <w:lvlOverride w:ilvl="7"/>
    <w:lvlOverride w:ilvl="8"/>
  </w:num>
  <w:num w:numId="4" w16cid:durableId="215243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40822"/>
    <w:rsid w:val="003B76D9"/>
    <w:rsid w:val="00404E5B"/>
    <w:rsid w:val="00414F7B"/>
    <w:rsid w:val="004355DC"/>
    <w:rsid w:val="004749B4"/>
    <w:rsid w:val="00494130"/>
    <w:rsid w:val="004F3523"/>
    <w:rsid w:val="00513E0A"/>
    <w:rsid w:val="005973B9"/>
    <w:rsid w:val="005B3A56"/>
    <w:rsid w:val="005B3D22"/>
    <w:rsid w:val="006060CE"/>
    <w:rsid w:val="0063497F"/>
    <w:rsid w:val="0078738A"/>
    <w:rsid w:val="00873DF0"/>
    <w:rsid w:val="008756E6"/>
    <w:rsid w:val="009B2D44"/>
    <w:rsid w:val="009D4C11"/>
    <w:rsid w:val="00A07E82"/>
    <w:rsid w:val="00A9710C"/>
    <w:rsid w:val="00AE3E37"/>
    <w:rsid w:val="00B21A57"/>
    <w:rsid w:val="00C33602"/>
    <w:rsid w:val="00CD6F55"/>
    <w:rsid w:val="00D62425"/>
    <w:rsid w:val="00D66938"/>
    <w:rsid w:val="00DE3104"/>
    <w:rsid w:val="00EE1340"/>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92A31"/>
  <w15:docId w15:val="{FCCAEACE-FBA7-634B-86F2-0A9A4A0C7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ibliography">
    <w:name w:val="Bibliography"/>
    <w:basedOn w:val="Normal"/>
    <w:next w:val="Normal"/>
    <w:uiPriority w:val="37"/>
    <w:unhideWhenUsed/>
    <w:rsid w:val="009D4C11"/>
    <w:pPr>
      <w:tabs>
        <w:tab w:val="left" w:pos="260"/>
      </w:tabs>
      <w:spacing w:after="240"/>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2009</Words>
  <Characters>11456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Nish Dalavaye</cp:lastModifiedBy>
  <cp:revision>9</cp:revision>
  <dcterms:created xsi:type="dcterms:W3CDTF">2016-08-31T13:10:00Z</dcterms:created>
  <dcterms:modified xsi:type="dcterms:W3CDTF">2023-08-17T12:42:00Z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ZOTERO_PREF_1">
    <vt:lpwstr>&lt;data data-version="3" zotero-version="6.0.26"&gt;&lt;session id="DPDourC8"/&gt;&lt;style id="http://www.zotero.org/styles/vancouver" locale="en-GB" hasBibliography="1" bibliographyStyleHasBeenSet="1"/&gt;&lt;prefs&gt;&lt;pref name="fieldType" value="Field"/&gt;&lt;/prefs&gt;&lt;/data&gt;</vt:lpwstr>
  </property>
</Properties>
</file>