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779F1" w:rsidP="00494130">
      <w:pPr>
        <w:pStyle w:val="Heading1"/>
        <w:spacing w:before="170"/>
        <w:ind w:left="0"/>
      </w:pPr>
      <w:r>
        <w:rPr>
          <w:color w:val="337AB7"/>
        </w:rPr>
        <w:t>Contrast enhanced mammography compared with MRI in assessment of disease extent i</w:t>
      </w:r>
      <w:r w:rsidR="007405AD">
        <w:rPr>
          <w:color w:val="337AB7"/>
        </w:rPr>
        <w:t>n newly diagnosed breast cancer</w:t>
      </w:r>
    </w:p>
    <w:p w:rsidR="0078738A" w:rsidRDefault="001779F1"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Oliver Evison, </w:t>
      </w:r>
      <w:proofErr w:type="spellStart"/>
      <w:r>
        <w:rPr>
          <w:rFonts w:ascii="Arial"/>
        </w:rPr>
        <w:t>MBChB</w:t>
      </w:r>
      <w:proofErr w:type="spellEnd"/>
      <w:r>
        <w:rPr>
          <w:rFonts w:ascii="Arial"/>
        </w:rPr>
        <w:t xml:space="preserve">, </w:t>
      </w:r>
      <w:proofErr w:type="spellStart"/>
      <w:r>
        <w:rPr>
          <w:rFonts w:ascii="Arial"/>
        </w:rPr>
        <w:t>Te</w:t>
      </w:r>
      <w:proofErr w:type="spellEnd"/>
      <w:r>
        <w:rPr>
          <w:rFonts w:ascii="Arial"/>
        </w:rPr>
        <w:t xml:space="preserve"> </w:t>
      </w:r>
      <w:proofErr w:type="spellStart"/>
      <w:r>
        <w:rPr>
          <w:rFonts w:ascii="Arial"/>
        </w:rPr>
        <w:t>Whatu</w:t>
      </w:r>
      <w:proofErr w:type="spellEnd"/>
      <w:r>
        <w:rPr>
          <w:rFonts w:ascii="Arial"/>
        </w:rPr>
        <w:t xml:space="preserve"> </w:t>
      </w:r>
      <w:proofErr w:type="spellStart"/>
      <w:r>
        <w:rPr>
          <w:rFonts w:ascii="Arial"/>
        </w:rPr>
        <w:t>Ora</w:t>
      </w:r>
      <w:proofErr w:type="spellEnd"/>
      <w:r>
        <w:rPr>
          <w:rFonts w:ascii="Arial"/>
        </w:rPr>
        <w:t>, New Zealand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B917E6" w:rsidRDefault="00B917E6" w:rsidP="001779F1"/>
    <w:p w:rsidR="00B917E6" w:rsidRDefault="00B917E6" w:rsidP="001779F1"/>
    <w:p w:rsidR="00B917E6" w:rsidRDefault="00B917E6" w:rsidP="001779F1"/>
    <w:p w:rsidR="001779F1" w:rsidRDefault="001779F1" w:rsidP="001779F1">
      <w:r w:rsidRPr="00541B5E">
        <w:rPr>
          <w:b/>
        </w:rPr>
        <w:t>Purpose:</w:t>
      </w:r>
      <w:r w:rsidR="00541B5E">
        <w:t xml:space="preserve"> </w:t>
      </w:r>
      <w:r w:rsidRPr="003846DD">
        <w:t>Contrast enhanced MRI (CEMRI) is the current standard in assessment of breast cancer disease extent, however, CEMRI is associated with high cost and low availability. Contrast enhanced mammography</w:t>
      </w:r>
      <w:r w:rsidR="00B475C5">
        <w:t xml:space="preserve"> (CEM)</w:t>
      </w:r>
      <w:r w:rsidRPr="003846DD">
        <w:t xml:space="preserve"> has potential as a more available, lower cost alternative. This study compares the accuracy of CEM against CEMRI in assessment of disease extent in newly diagnosed breast cancer.</w:t>
      </w:r>
      <w:r>
        <w:t xml:space="preserve"> </w:t>
      </w:r>
      <w:r w:rsidRPr="00541B5E">
        <w:rPr>
          <w:b/>
        </w:rPr>
        <w:t>Methods:</w:t>
      </w:r>
      <w:r w:rsidR="00541B5E">
        <w:t xml:space="preserve"> </w:t>
      </w:r>
      <w:r w:rsidRPr="003846DD">
        <w:t>Patients were referred for assessment on disease extent by the breast MDT and received both preoperative CEM and CEMRI. Imaging was reported by subspecialty breast radiologists and final histology reports produced by consultant pathologists. Disease extent assessments were extracted from each report and compared. Sensitivity, percentage accuracy scores and absolute measurement differences were then calculated. A linear regression was also performed to assess the correlation between breast density and the accuracy of CEM.</w:t>
      </w:r>
      <w:r w:rsidR="00541B5E">
        <w:t xml:space="preserve"> </w:t>
      </w:r>
      <w:r w:rsidRPr="00541B5E">
        <w:rPr>
          <w:b/>
        </w:rPr>
        <w:t>Results:</w:t>
      </w:r>
      <w:r w:rsidR="00541B5E">
        <w:t xml:space="preserve"> </w:t>
      </w:r>
      <w:r w:rsidRPr="003846DD">
        <w:t>24 patients were included in the study. The sensitivity of CEMRI and CEM were 100% and 92% respectively. On average disease extent assessment with CEM was accurate to within 33% of the pathology report compared with 27% for MRI.</w:t>
      </w:r>
      <w:r>
        <w:t xml:space="preserve"> </w:t>
      </w:r>
      <w:r w:rsidRPr="003846DD">
        <w:t>The mean absolute measurement difference between the imaging modalities and pathology was 10.9mm (95% CI 5mm - 17mm) for CEM and 9.4mm (95% CI 5mm - 15mm). There was no statistically significant correlation between breast density and accuracy.</w:t>
      </w:r>
      <w:r w:rsidR="00541B5E">
        <w:t xml:space="preserve"> </w:t>
      </w:r>
      <w:r w:rsidRPr="00541B5E">
        <w:rPr>
          <w:b/>
        </w:rPr>
        <w:t>Conclusion:</w:t>
      </w:r>
      <w:r w:rsidR="00541B5E">
        <w:t xml:space="preserve"> </w:t>
      </w:r>
      <w:r>
        <w:t>The accuracy of</w:t>
      </w:r>
      <w:r w:rsidRPr="003846DD">
        <w:t xml:space="preserve"> CEM is closely comparable to that of CEMRI in assessment of</w:t>
      </w:r>
      <w:r>
        <w:t xml:space="preserve"> breast cancer</w:t>
      </w:r>
      <w:r w:rsidRPr="003846DD">
        <w:t xml:space="preserve"> disease extent. Further study should be performed to assess if CEM can be used as a </w:t>
      </w:r>
      <w:proofErr w:type="spellStart"/>
      <w:r w:rsidRPr="003846DD">
        <w:t>stand alone</w:t>
      </w:r>
      <w:proofErr w:type="spellEnd"/>
      <w:r w:rsidRPr="003846DD">
        <w:t xml:space="preserve"> test.</w:t>
      </w:r>
    </w:p>
    <w:p w:rsidR="00B475C5" w:rsidRDefault="00B475C5" w:rsidP="001779F1"/>
    <w:p w:rsidR="00AE3E37" w:rsidRDefault="00A9710C" w:rsidP="00B917E6">
      <w:pPr>
        <w:pStyle w:val="Heading3"/>
        <w:spacing w:before="74"/>
        <w:ind w:left="0"/>
        <w:rPr>
          <w:b w:val="0"/>
          <w:sz w:val="16"/>
        </w:rPr>
      </w:pPr>
      <w:r>
        <w:rPr>
          <w:b w:val="0"/>
        </w:rPr>
        <w:br w:type="column"/>
      </w:r>
      <w:r w:rsidR="00B475C5">
        <w:rPr>
          <w:noProof/>
          <w:lang w:val="en-NZ" w:eastAsia="en-NZ"/>
        </w:rPr>
        <w:drawing>
          <wp:inline distT="0" distB="0" distL="0" distR="0" wp14:anchorId="45642637" wp14:editId="54848DE1">
            <wp:extent cx="3328035" cy="2019300"/>
            <wp:effectExtent l="0" t="0" r="571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475C5" w:rsidRDefault="00B475C5">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B917E6" w:rsidRDefault="00B917E6" w:rsidP="00B917E6">
      <w:pPr>
        <w:pStyle w:val="ListParagraph"/>
        <w:numPr>
          <w:ilvl w:val="0"/>
          <w:numId w:val="3"/>
        </w:numPr>
        <w:tabs>
          <w:tab w:val="left" w:pos="384"/>
        </w:tabs>
        <w:spacing w:line="216" w:lineRule="exact"/>
        <w:ind w:right="137"/>
        <w:rPr>
          <w:sz w:val="18"/>
        </w:rPr>
      </w:pPr>
      <w:r w:rsidRPr="00B917E6">
        <w:rPr>
          <w:sz w:val="18"/>
        </w:rPr>
        <w:t xml:space="preserve">Taylor, D., Burrows, S., Saunders, C. M., </w:t>
      </w:r>
      <w:proofErr w:type="spellStart"/>
      <w:r w:rsidRPr="00B917E6">
        <w:rPr>
          <w:sz w:val="18"/>
        </w:rPr>
        <w:t>Parizel</w:t>
      </w:r>
      <w:proofErr w:type="spellEnd"/>
      <w:r w:rsidRPr="00B917E6">
        <w:rPr>
          <w:sz w:val="18"/>
        </w:rPr>
        <w:t>, P. M., &amp; Ives, A. (2023). Contrast-enhanced mammography (CEM) versus MRI for breast cancer staging: detection of additional malignant lesions not seen on conventional imaging. European Radiology Experimental, 7(1). https://doi.org/10.1186/s41747-022-00318-5</w:t>
      </w:r>
    </w:p>
    <w:p w:rsidR="005973B9" w:rsidRDefault="00B917E6" w:rsidP="00B917E6">
      <w:pPr>
        <w:pStyle w:val="ListParagraph"/>
        <w:numPr>
          <w:ilvl w:val="0"/>
          <w:numId w:val="3"/>
        </w:numPr>
        <w:tabs>
          <w:tab w:val="left" w:pos="384"/>
        </w:tabs>
        <w:spacing w:line="216" w:lineRule="exact"/>
        <w:ind w:right="138"/>
        <w:rPr>
          <w:sz w:val="18"/>
        </w:rPr>
      </w:pPr>
      <w:r w:rsidRPr="00B917E6">
        <w:rPr>
          <w:sz w:val="18"/>
        </w:rPr>
        <w:t xml:space="preserve">Kamal, R., Mansour, S., Farouk, A., </w:t>
      </w:r>
      <w:proofErr w:type="spellStart"/>
      <w:r w:rsidRPr="00B917E6">
        <w:rPr>
          <w:sz w:val="18"/>
        </w:rPr>
        <w:t>Hanafy</w:t>
      </w:r>
      <w:proofErr w:type="spellEnd"/>
      <w:r w:rsidRPr="00B917E6">
        <w:rPr>
          <w:sz w:val="18"/>
        </w:rPr>
        <w:t xml:space="preserve">, M. M., </w:t>
      </w:r>
      <w:proofErr w:type="spellStart"/>
      <w:r w:rsidRPr="00B917E6">
        <w:rPr>
          <w:sz w:val="18"/>
        </w:rPr>
        <w:t>Elhatw</w:t>
      </w:r>
      <w:proofErr w:type="spellEnd"/>
      <w:r w:rsidRPr="00B917E6">
        <w:rPr>
          <w:sz w:val="18"/>
        </w:rPr>
        <w:t xml:space="preserve">, A., &amp; Goma, M. M. (2021). Contrast-enhanced mammography in comparison with dynamic contrast-enhanced MRI: which modality is appropriate for whom? Egyptian Journal of Radiology and Nuclear Medicine, 52(1). </w:t>
      </w:r>
      <w:hyperlink r:id="rId10" w:history="1">
        <w:r w:rsidRPr="00291E7F">
          <w:rPr>
            <w:rStyle w:val="Hyperlink"/>
            <w:sz w:val="18"/>
          </w:rPr>
          <w:t>https://doi.org/10.1186/s43055-021-00586-y</w:t>
        </w:r>
      </w:hyperlink>
    </w:p>
    <w:p w:rsidR="005973B9" w:rsidRPr="00B917E6" w:rsidRDefault="00B917E6" w:rsidP="00B917E6">
      <w:pPr>
        <w:pStyle w:val="ListParagraph"/>
        <w:numPr>
          <w:ilvl w:val="0"/>
          <w:numId w:val="3"/>
        </w:numPr>
        <w:tabs>
          <w:tab w:val="left" w:pos="384"/>
        </w:tabs>
        <w:spacing w:line="216" w:lineRule="exact"/>
        <w:ind w:right="138"/>
        <w:rPr>
          <w:sz w:val="18"/>
          <w:szCs w:val="18"/>
        </w:rPr>
      </w:pPr>
      <w:proofErr w:type="spellStart"/>
      <w:r w:rsidRPr="00B917E6">
        <w:rPr>
          <w:sz w:val="18"/>
          <w:szCs w:val="18"/>
        </w:rPr>
        <w:t>Pötsch</w:t>
      </w:r>
      <w:proofErr w:type="spellEnd"/>
      <w:r w:rsidRPr="00B917E6">
        <w:rPr>
          <w:sz w:val="18"/>
          <w:szCs w:val="18"/>
        </w:rPr>
        <w:t xml:space="preserve">, N., </w:t>
      </w:r>
      <w:proofErr w:type="spellStart"/>
      <w:r w:rsidRPr="00B917E6">
        <w:rPr>
          <w:sz w:val="18"/>
          <w:szCs w:val="18"/>
        </w:rPr>
        <w:t>Vatteroni</w:t>
      </w:r>
      <w:proofErr w:type="spellEnd"/>
      <w:r w:rsidRPr="00B917E6">
        <w:rPr>
          <w:sz w:val="18"/>
          <w:szCs w:val="18"/>
        </w:rPr>
        <w:t xml:space="preserve">, G., </w:t>
      </w:r>
      <w:proofErr w:type="spellStart"/>
      <w:r w:rsidRPr="00B917E6">
        <w:rPr>
          <w:sz w:val="18"/>
          <w:szCs w:val="18"/>
        </w:rPr>
        <w:t>Clauser</w:t>
      </w:r>
      <w:proofErr w:type="spellEnd"/>
      <w:r w:rsidRPr="00B917E6">
        <w:rPr>
          <w:sz w:val="18"/>
          <w:szCs w:val="18"/>
        </w:rPr>
        <w:t xml:space="preserve">, P., </w:t>
      </w:r>
      <w:proofErr w:type="spellStart"/>
      <w:r w:rsidRPr="00B917E6">
        <w:rPr>
          <w:sz w:val="18"/>
          <w:szCs w:val="18"/>
        </w:rPr>
        <w:t>Helbich</w:t>
      </w:r>
      <w:proofErr w:type="spellEnd"/>
      <w:r w:rsidRPr="00B917E6">
        <w:rPr>
          <w:sz w:val="18"/>
          <w:szCs w:val="18"/>
        </w:rPr>
        <w:t xml:space="preserve">, T. H., &amp; </w:t>
      </w:r>
      <w:proofErr w:type="spellStart"/>
      <w:r w:rsidRPr="00B917E6">
        <w:rPr>
          <w:sz w:val="18"/>
          <w:szCs w:val="18"/>
        </w:rPr>
        <w:t>Baltzer</w:t>
      </w:r>
      <w:proofErr w:type="spellEnd"/>
      <w:r w:rsidRPr="00B917E6">
        <w:rPr>
          <w:sz w:val="18"/>
          <w:szCs w:val="18"/>
        </w:rPr>
        <w:t>, P. a. T. (2022). Contrast-enhanced Mammography versus Contrast-enhanced Breast MRI: A Systematic Review and Meta-Analysis. Radiology, 305(1), 94–103. https://doi.org/10.1148/radiol.212530</w:t>
      </w:r>
      <w:r w:rsidR="005973B9" w:rsidRPr="00B917E6">
        <w:rPr>
          <w:sz w:val="18"/>
          <w:szCs w:val="18"/>
        </w:rPr>
        <w:t>.</w:t>
      </w:r>
    </w:p>
    <w:p w:rsidR="005973B9" w:rsidRDefault="00B917E6" w:rsidP="00B917E6">
      <w:pPr>
        <w:pStyle w:val="BodyText"/>
        <w:numPr>
          <w:ilvl w:val="0"/>
          <w:numId w:val="3"/>
        </w:numPr>
        <w:spacing w:before="85" w:line="216" w:lineRule="exact"/>
        <w:ind w:right="138"/>
        <w:jc w:val="both"/>
        <w:rPr>
          <w:rFonts w:ascii="Calibri" w:hAnsi="Calibri"/>
        </w:rPr>
      </w:pPr>
      <w:proofErr w:type="spellStart"/>
      <w:r w:rsidRPr="00B917E6">
        <w:rPr>
          <w:rFonts w:ascii="Calibri" w:hAnsi="Calibri"/>
        </w:rPr>
        <w:t>Ghaderi</w:t>
      </w:r>
      <w:proofErr w:type="spellEnd"/>
      <w:r w:rsidRPr="00B917E6">
        <w:rPr>
          <w:rFonts w:ascii="Calibri" w:hAnsi="Calibri"/>
        </w:rPr>
        <w:t xml:space="preserve">, K. F., Phillips, J., Perry, H. L., </w:t>
      </w:r>
      <w:proofErr w:type="spellStart"/>
      <w:r w:rsidRPr="00B917E6">
        <w:rPr>
          <w:rFonts w:ascii="Calibri" w:hAnsi="Calibri"/>
        </w:rPr>
        <w:t>Lotfi</w:t>
      </w:r>
      <w:proofErr w:type="spellEnd"/>
      <w:r w:rsidRPr="00B917E6">
        <w:rPr>
          <w:rFonts w:ascii="Calibri" w:hAnsi="Calibri"/>
        </w:rPr>
        <w:t xml:space="preserve">, P., &amp; Mehta, T. S. (2019). Contrast-enhanced Mammography: Current Applications and Future Directions. </w:t>
      </w:r>
      <w:proofErr w:type="spellStart"/>
      <w:r w:rsidRPr="00B917E6">
        <w:rPr>
          <w:rFonts w:ascii="Calibri" w:hAnsi="Calibri"/>
        </w:rPr>
        <w:t>Radiographics</w:t>
      </w:r>
      <w:proofErr w:type="spellEnd"/>
      <w:r w:rsidRPr="00B917E6">
        <w:rPr>
          <w:rFonts w:ascii="Calibri" w:hAnsi="Calibri"/>
        </w:rPr>
        <w:t xml:space="preserve">, 39(7), 1907–1920. </w:t>
      </w:r>
      <w:hyperlink r:id="rId11" w:history="1">
        <w:r w:rsidRPr="00291E7F">
          <w:rPr>
            <w:rStyle w:val="Hyperlink"/>
            <w:rFonts w:ascii="Calibri" w:hAnsi="Calibri"/>
          </w:rPr>
          <w:t>https://doi.org/10.1148/rg.2019190079</w:t>
        </w:r>
      </w:hyperlink>
      <w:r w:rsidR="005973B9">
        <w:rPr>
          <w:rFonts w:ascii="Calibri" w:hAnsi="Calibri"/>
        </w:rPr>
        <w:t>.</w:t>
      </w:r>
    </w:p>
    <w:p w:rsidR="00B917E6" w:rsidRDefault="00B917E6" w:rsidP="00B917E6">
      <w:pPr>
        <w:pStyle w:val="BodyText"/>
        <w:numPr>
          <w:ilvl w:val="0"/>
          <w:numId w:val="3"/>
        </w:numPr>
        <w:spacing w:before="85" w:line="216" w:lineRule="exact"/>
        <w:ind w:right="138"/>
        <w:jc w:val="both"/>
        <w:rPr>
          <w:rFonts w:ascii="Calibri" w:hAnsi="Calibri"/>
        </w:rPr>
      </w:pPr>
      <w:proofErr w:type="spellStart"/>
      <w:r w:rsidRPr="00B917E6">
        <w:rPr>
          <w:rFonts w:ascii="Calibri" w:hAnsi="Calibri"/>
        </w:rPr>
        <w:t>Sensakovic</w:t>
      </w:r>
      <w:proofErr w:type="spellEnd"/>
      <w:r w:rsidRPr="00B917E6">
        <w:rPr>
          <w:rFonts w:ascii="Calibri" w:hAnsi="Calibri"/>
        </w:rPr>
        <w:t xml:space="preserve">, W. F., Carnahan, M. B., </w:t>
      </w:r>
      <w:proofErr w:type="spellStart"/>
      <w:r w:rsidRPr="00B917E6">
        <w:rPr>
          <w:rFonts w:ascii="Calibri" w:hAnsi="Calibri"/>
        </w:rPr>
        <w:t>Czaplicki</w:t>
      </w:r>
      <w:proofErr w:type="spellEnd"/>
      <w:r w:rsidRPr="00B917E6">
        <w:rPr>
          <w:rFonts w:ascii="Calibri" w:hAnsi="Calibri"/>
        </w:rPr>
        <w:t xml:space="preserve">, C. D., </w:t>
      </w:r>
      <w:proofErr w:type="spellStart"/>
      <w:r w:rsidRPr="00B917E6">
        <w:rPr>
          <w:rFonts w:ascii="Calibri" w:hAnsi="Calibri"/>
        </w:rPr>
        <w:t>Fahrenholtz</w:t>
      </w:r>
      <w:proofErr w:type="spellEnd"/>
      <w:r w:rsidRPr="00B917E6">
        <w:rPr>
          <w:rFonts w:ascii="Calibri" w:hAnsi="Calibri"/>
        </w:rPr>
        <w:t xml:space="preserve">, S. J., Panda, A., Zhou, Y., </w:t>
      </w:r>
      <w:proofErr w:type="spellStart"/>
      <w:r w:rsidRPr="00B917E6">
        <w:rPr>
          <w:rFonts w:ascii="Calibri" w:hAnsi="Calibri"/>
        </w:rPr>
        <w:t>Pavlicek</w:t>
      </w:r>
      <w:proofErr w:type="spellEnd"/>
      <w:r w:rsidRPr="00B917E6">
        <w:rPr>
          <w:rFonts w:ascii="Calibri" w:hAnsi="Calibri"/>
        </w:rPr>
        <w:t xml:space="preserve">, W., &amp; Patel, B. K. (2021). Contrast-enhanced Mammography: How Does It Work? </w:t>
      </w:r>
      <w:proofErr w:type="spellStart"/>
      <w:r w:rsidRPr="00B917E6">
        <w:rPr>
          <w:rFonts w:ascii="Calibri" w:hAnsi="Calibri"/>
        </w:rPr>
        <w:t>Radiographics</w:t>
      </w:r>
      <w:proofErr w:type="spellEnd"/>
      <w:r w:rsidRPr="00B917E6">
        <w:rPr>
          <w:rFonts w:ascii="Calibri" w:hAnsi="Calibri"/>
        </w:rPr>
        <w:t>, 41(3), 829–839. https://doi.org/10.1148/rg.2021200167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NZ" w:eastAsia="en-N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98D2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541B5E" w:rsidP="00404E5B">
      <w:pPr>
        <w:spacing w:before="92"/>
        <w:ind w:right="4234"/>
        <w:rPr>
          <w:rFonts w:ascii="Arial"/>
        </w:rPr>
      </w:pPr>
      <w:r>
        <w:rPr>
          <w:noProof/>
          <w:lang w:val="en-NZ" w:eastAsia="en-NZ"/>
        </w:rPr>
        <w:drawing>
          <wp:anchor distT="0" distB="0" distL="114300" distR="114300" simplePos="0" relativeHeight="251658240" behindDoc="0" locked="0" layoutInCell="1" allowOverlap="1">
            <wp:simplePos x="0" y="0"/>
            <wp:positionH relativeFrom="column">
              <wp:posOffset>82550</wp:posOffset>
            </wp:positionH>
            <wp:positionV relativeFrom="paragraph">
              <wp:posOffset>-25400</wp:posOffset>
            </wp:positionV>
            <wp:extent cx="762000" cy="87376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2000" cy="873760"/>
                    </a:xfrm>
                    <a:prstGeom prst="rect">
                      <a:avLst/>
                    </a:prstGeom>
                  </pic:spPr>
                </pic:pic>
              </a:graphicData>
            </a:graphic>
            <wp14:sizeRelH relativeFrom="page">
              <wp14:pctWidth>0</wp14:pctWidth>
            </wp14:sizeRelH>
            <wp14:sizeRelV relativeFrom="page">
              <wp14:pctHeight>0</wp14:pctHeight>
            </wp14:sizeRelV>
          </wp:anchor>
        </w:drawing>
      </w:r>
      <w:r w:rsidR="00B475C5">
        <w:rPr>
          <w:noProof/>
        </w:rPr>
        <w:t xml:space="preserve">  </w:t>
      </w:r>
      <w:r w:rsidR="008756E6">
        <w:rPr>
          <w:noProof/>
        </w:rPr>
        <w:t xml:space="preserve">  </w:t>
      </w:r>
    </w:p>
    <w:p w:rsidR="00AE3E37" w:rsidRDefault="00B475C5">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Oliver Evison is a final year radiology resident based in New Zealand. He has had a passion from breast radiology from early in his career and has always been an advocate for advancing breast imaging</w:t>
      </w:r>
      <w:r w:rsidR="00A9710C">
        <w:rPr>
          <w:rFonts w:ascii="Arial"/>
          <w:sz w:val="14"/>
        </w:rPr>
        <w:t>.</w:t>
      </w:r>
      <w:r>
        <w:rPr>
          <w:rFonts w:ascii="Arial"/>
          <w:sz w:val="14"/>
        </w:rPr>
        <w:t xml:space="preserve"> This project was born out of a desire to improve the medical imaging experience for women facing breast cancer.</w:t>
      </w:r>
    </w:p>
    <w:p w:rsidR="00AE3E37" w:rsidRDefault="00A9710C">
      <w:pPr>
        <w:spacing w:before="62"/>
        <w:ind w:left="4217" w:right="4235"/>
        <w:jc w:val="center"/>
        <w:rPr>
          <w:rFonts w:ascii="Arial"/>
          <w:sz w:val="14"/>
        </w:rPr>
      </w:pPr>
      <w:r>
        <w:rPr>
          <w:rFonts w:ascii="Arial"/>
          <w:sz w:val="14"/>
        </w:rPr>
        <w:t>Email</w:t>
      </w:r>
      <w:r w:rsidR="00B475C5">
        <w:rPr>
          <w:rFonts w:ascii="Arial"/>
          <w:sz w:val="14"/>
        </w:rPr>
        <w:t>:</w:t>
      </w:r>
      <w:r w:rsidR="007405AD">
        <w:rPr>
          <w:rFonts w:ascii="Arial"/>
          <w:sz w:val="14"/>
        </w:rPr>
        <w:t xml:space="preserve"> </w:t>
      </w:r>
      <w:bookmarkStart w:id="0" w:name="_GoBack"/>
      <w:bookmarkEnd w:id="0"/>
      <w:r w:rsidR="00B475C5">
        <w:rPr>
          <w:rFonts w:ascii="Arial"/>
          <w:sz w:val="14"/>
        </w:rPr>
        <w:t>o.a.evison@hotmail.co.nz</w:t>
      </w:r>
    </w:p>
    <w:p w:rsidR="00AE3E37" w:rsidRDefault="00292ED9">
      <w:pPr>
        <w:pStyle w:val="BodyText"/>
        <w:spacing w:before="2"/>
        <w:rPr>
          <w:rFonts w:ascii="Arial"/>
          <w:sz w:val="19"/>
        </w:rPr>
      </w:pPr>
      <w:r>
        <w:rPr>
          <w:noProof/>
          <w:lang w:val="en-NZ" w:eastAsia="en-N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823D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1779F1" w:rsidRDefault="00A9710C" w:rsidP="001779F1">
      <w:pPr>
        <w:spacing w:before="39"/>
        <w:ind w:left="100"/>
        <w:rPr>
          <w:rFonts w:ascii="Minion Pro"/>
          <w:b/>
          <w:sz w:val="20"/>
        </w:rPr>
        <w:sectPr w:rsidR="00AE3E37" w:rsidRPr="001779F1">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1779F1">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79F1"/>
    <w:rsid w:val="001E763C"/>
    <w:rsid w:val="00292ED9"/>
    <w:rsid w:val="00314AFB"/>
    <w:rsid w:val="003B76D9"/>
    <w:rsid w:val="00404E5B"/>
    <w:rsid w:val="00411A48"/>
    <w:rsid w:val="00414F7B"/>
    <w:rsid w:val="004355DC"/>
    <w:rsid w:val="004749B4"/>
    <w:rsid w:val="00494130"/>
    <w:rsid w:val="004F3523"/>
    <w:rsid w:val="00541B5E"/>
    <w:rsid w:val="005973B9"/>
    <w:rsid w:val="005B3A56"/>
    <w:rsid w:val="006060CE"/>
    <w:rsid w:val="0063497F"/>
    <w:rsid w:val="007405AD"/>
    <w:rsid w:val="0078738A"/>
    <w:rsid w:val="00873DF0"/>
    <w:rsid w:val="008756E6"/>
    <w:rsid w:val="009B2D44"/>
    <w:rsid w:val="00A07E82"/>
    <w:rsid w:val="00A9710C"/>
    <w:rsid w:val="00AE3E37"/>
    <w:rsid w:val="00B21A57"/>
    <w:rsid w:val="00B475C5"/>
    <w:rsid w:val="00B917E6"/>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9FE20B"/>
  <w15:docId w15:val="{45A75C6C-7E08-460C-B104-89AE7871D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9674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48/rg.2019190079" TargetMode="External"/><Relationship Id="rId5" Type="http://schemas.openxmlformats.org/officeDocument/2006/relationships/footnotes" Target="footnotes.xml"/><Relationship Id="rId10" Type="http://schemas.openxmlformats.org/officeDocument/2006/relationships/hyperlink" Target="https://doi.org/10.1186/s43055-021-00586-y"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discrepancy compared to pathology</a:t>
            </a:r>
          </a:p>
        </c:rich>
      </c:tx>
      <c:layout>
        <c:manualLayout>
          <c:xMode val="edge"/>
          <c:yMode val="edge"/>
          <c:x val="0.156389167502507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767973210971499"/>
          <c:y val="0.22795051822133069"/>
          <c:w val="0.78818787069871032"/>
          <c:h val="0.59686882168816158"/>
        </c:manualLayout>
      </c:layout>
      <c:barChart>
        <c:barDir val="col"/>
        <c:grouping val="clustered"/>
        <c:varyColors val="0"/>
        <c:ser>
          <c:idx val="0"/>
          <c:order val="0"/>
          <c:tx>
            <c:strRef>
              <c:f>'[CEM project data II.xlsx]Sheet3'!$A$3</c:f>
              <c:strCache>
                <c:ptCount val="1"/>
                <c:pt idx="0">
                  <c:v>Average percentage accuracy</c:v>
                </c:pt>
              </c:strCache>
            </c:strRef>
          </c:tx>
          <c:spPr>
            <a:solidFill>
              <a:schemeClr val="accent1"/>
            </a:solidFill>
            <a:ln>
              <a:noFill/>
            </a:ln>
            <a:effectLst/>
          </c:spPr>
          <c:invertIfNegative val="0"/>
          <c:cat>
            <c:strRef>
              <c:f>'[CEM project data II.xlsx]Sheet3'!$B$1:$C$1</c:f>
              <c:strCache>
                <c:ptCount val="2"/>
                <c:pt idx="0">
                  <c:v>CEM</c:v>
                </c:pt>
                <c:pt idx="1">
                  <c:v>MRI</c:v>
                </c:pt>
              </c:strCache>
            </c:strRef>
          </c:cat>
          <c:val>
            <c:numRef>
              <c:f>'[CEM project data II.xlsx]Sheet3'!$B$3:$C$3</c:f>
              <c:numCache>
                <c:formatCode>0.00%</c:formatCode>
                <c:ptCount val="2"/>
                <c:pt idx="0">
                  <c:v>0.33400000000000002</c:v>
                </c:pt>
                <c:pt idx="1">
                  <c:v>0.26800000000000002</c:v>
                </c:pt>
              </c:numCache>
            </c:numRef>
          </c:val>
          <c:extLst>
            <c:ext xmlns:c16="http://schemas.microsoft.com/office/drawing/2014/chart" uri="{C3380CC4-5D6E-409C-BE32-E72D297353CC}">
              <c16:uniqueId val="{00000000-FFF9-4A06-B24C-232E2742DDF3}"/>
            </c:ext>
          </c:extLst>
        </c:ser>
        <c:dLbls>
          <c:showLegendKey val="0"/>
          <c:showVal val="0"/>
          <c:showCatName val="0"/>
          <c:showSerName val="0"/>
          <c:showPercent val="0"/>
          <c:showBubbleSize val="0"/>
        </c:dLbls>
        <c:gapWidth val="219"/>
        <c:overlap val="-27"/>
        <c:axId val="370480432"/>
        <c:axId val="370478136"/>
      </c:barChart>
      <c:catAx>
        <c:axId val="370480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478136"/>
        <c:crosses val="autoZero"/>
        <c:auto val="1"/>
        <c:lblAlgn val="ctr"/>
        <c:lblOffset val="100"/>
        <c:noMultiLvlLbl val="0"/>
      </c:catAx>
      <c:valAx>
        <c:axId val="3704781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480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Oliver Evison [3DHB]</cp:lastModifiedBy>
  <cp:revision>4</cp:revision>
  <dcterms:created xsi:type="dcterms:W3CDTF">2023-05-30T07:08:00Z</dcterms:created>
  <dcterms:modified xsi:type="dcterms:W3CDTF">2023-05-30T07:14:00Z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